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819B" w14:textId="49252F4C" w:rsid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r>
        <w:rPr>
          <w:rFonts w:ascii="Georgia" w:hAnsi="Georgia" w:cs="Georgia"/>
          <w:noProof/>
          <w:color w:val="000000"/>
          <w:sz w:val="20"/>
          <w:szCs w:val="20"/>
        </w:rPr>
        <mc:AlternateContent>
          <mc:Choice Requires="wps">
            <w:drawing>
              <wp:anchor distT="0" distB="0" distL="114300" distR="114300" simplePos="0" relativeHeight="251659264" behindDoc="0" locked="0" layoutInCell="1" allowOverlap="1" wp14:anchorId="696F6345" wp14:editId="09CE4F4F">
                <wp:simplePos x="0" y="0"/>
                <wp:positionH relativeFrom="column">
                  <wp:posOffset>-36830</wp:posOffset>
                </wp:positionH>
                <wp:positionV relativeFrom="paragraph">
                  <wp:posOffset>-491544</wp:posOffset>
                </wp:positionV>
                <wp:extent cx="6517532" cy="865762"/>
                <wp:effectExtent l="0" t="0" r="0" b="0"/>
                <wp:wrapNone/>
                <wp:docPr id="3" name="Text Box 3"/>
                <wp:cNvGraphicFramePr/>
                <a:graphic xmlns:a="http://schemas.openxmlformats.org/drawingml/2006/main">
                  <a:graphicData uri="http://schemas.microsoft.com/office/word/2010/wordprocessingShape">
                    <wps:wsp>
                      <wps:cNvSpPr txBox="1"/>
                      <wps:spPr>
                        <a:xfrm>
                          <a:off x="0" y="0"/>
                          <a:ext cx="6517532" cy="865762"/>
                        </a:xfrm>
                        <a:prstGeom prst="rect">
                          <a:avLst/>
                        </a:prstGeom>
                        <a:solidFill>
                          <a:schemeClr val="bg1">
                            <a:lumMod val="75000"/>
                          </a:schemeClr>
                        </a:solidFill>
                        <a:ln w="6350">
                          <a:noFill/>
                        </a:ln>
                      </wps:spPr>
                      <wps:txbx>
                        <w:txbxContent>
                          <w:p w14:paraId="3F5D0289" w14:textId="5067E128" w:rsidR="00B14A4D" w:rsidRPr="00B14A4D" w:rsidRDefault="00B14A4D" w:rsidP="00B14A4D">
                            <w:pPr>
                              <w:jc w:val="center"/>
                              <w:rPr>
                                <w:rFonts w:ascii="Arial" w:hAnsi="Arial" w:cs="Arial"/>
                                <w:b/>
                                <w:bCs/>
                                <w:color w:val="FFFFFF" w:themeColor="background1"/>
                                <w:sz w:val="32"/>
                                <w:szCs w:val="32"/>
                              </w:rPr>
                            </w:pPr>
                            <w:r w:rsidRPr="00B14A4D">
                              <w:rPr>
                                <w:rFonts w:ascii="Arial" w:hAnsi="Arial" w:cs="Arial"/>
                                <w:b/>
                                <w:bCs/>
                                <w:color w:val="FFFFFF" w:themeColor="background1"/>
                                <w:sz w:val="32"/>
                                <w:szCs w:val="32"/>
                              </w:rPr>
                              <w:t>Court Letterhea</w:t>
                            </w:r>
                            <w:r>
                              <w:rPr>
                                <w:rFonts w:ascii="Arial" w:hAnsi="Arial" w:cs="Arial"/>
                                <w:b/>
                                <w:bCs/>
                                <w:color w:val="FFFFFF" w:themeColor="background1"/>
                                <w:sz w:val="32"/>
                                <w:szCs w:val="32"/>
                              </w:rPr>
                              <w:t>d</w:t>
                            </w:r>
                          </w:p>
                        </w:txbxContent>
                      </wps:txbx>
                      <wps:bodyPr rot="0" spcFirstLastPara="0" vertOverflow="overflow" horzOverflow="overflow" vert="horz" wrap="square" lIns="91440" tIns="27432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6F6345" id="_x0000_t202" coordsize="21600,21600" o:spt="202" path="m,l,21600r21600,l21600,xe">
                <v:stroke joinstyle="miter"/>
                <v:path gradientshapeok="t" o:connecttype="rect"/>
              </v:shapetype>
              <v:shape id="Text Box 3" o:spid="_x0000_s1026" type="#_x0000_t202" style="position:absolute;margin-left:-2.9pt;margin-top:-38.7pt;width:513.2pt;height:68.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" fillcolor="#bfbfbf [2412]" stroked="f" strokeweight=".5pt">
                <v:textbox inset=",21.6pt,,0">
                  <w:txbxContent>
                    <w:p w14:paraId="3F5D0289" w14:textId="5067E128" w:rsidR="00B14A4D" w:rsidRPr="00B14A4D" w:rsidRDefault="00B14A4D" w:rsidP="00B14A4D">
                      <w:pPr>
                        <w:jc w:val="center"/>
                        <w:rPr>
                          <w:rFonts w:ascii="Arial" w:hAnsi="Arial" w:cs="Arial"/>
                          <w:b/>
                          <w:bCs/>
                          <w:color w:val="FFFFFF" w:themeColor="background1"/>
                          <w:sz w:val="32"/>
                          <w:szCs w:val="32"/>
                        </w:rPr>
                      </w:pPr>
                      <w:r w:rsidRPr="00B14A4D">
                        <w:rPr>
                          <w:rFonts w:ascii="Arial" w:hAnsi="Arial" w:cs="Arial"/>
                          <w:b/>
                          <w:bCs/>
                          <w:color w:val="FFFFFF" w:themeColor="background1"/>
                          <w:sz w:val="32"/>
                          <w:szCs w:val="32"/>
                        </w:rPr>
                        <w:t>Court Letterhea</w:t>
                      </w:r>
                      <w:r>
                        <w:rPr>
                          <w:rFonts w:ascii="Arial" w:hAnsi="Arial" w:cs="Arial"/>
                          <w:b/>
                          <w:bCs/>
                          <w:color w:val="FFFFFF" w:themeColor="background1"/>
                          <w:sz w:val="32"/>
                          <w:szCs w:val="32"/>
                        </w:rPr>
                        <w:t>d</w:t>
                      </w:r>
                    </w:p>
                  </w:txbxContent>
                </v:textbox>
              </v:shape>
            </w:pict>
          </mc:Fallback>
        </mc:AlternateContent>
      </w:r>
    </w:p>
    <w:p w14:paraId="298472D3" w14:textId="242365F3" w:rsidR="00B14A4D" w:rsidRDefault="00B14A4D" w:rsidP="00B14A4D">
      <w:pPr>
        <w:autoSpaceDE w:val="0"/>
        <w:autoSpaceDN w:val="0"/>
        <w:adjustRightInd w:val="0"/>
        <w:spacing w:before="180" w:after="0" w:line="260" w:lineRule="atLeast"/>
        <w:textAlignment w:val="center"/>
        <w:rPr>
          <w:rFonts w:ascii="Georgia" w:hAnsi="Georgia" w:cs="Georgia"/>
          <w:color w:val="000000"/>
          <w:sz w:val="20"/>
          <w:szCs w:val="20"/>
        </w:rPr>
      </w:pPr>
    </w:p>
    <w:p w14:paraId="63FAA3EB" w14:textId="77777777" w:rsidR="00005BA0" w:rsidRDefault="00005BA0" w:rsidP="00005BA0">
      <w:pPr>
        <w:pStyle w:val="Lettertemplatebody"/>
      </w:pPr>
      <w:r>
        <w:t xml:space="preserve">Dear [Sheriff / Warden / Commissioner / Director] </w:t>
      </w:r>
      <w:r>
        <w:rPr>
          <w:spacing w:val="-16"/>
        </w:rPr>
        <w:t>____________</w:t>
      </w:r>
      <w:r>
        <w:t>:</w:t>
      </w:r>
    </w:p>
    <w:p w14:paraId="216F4D88" w14:textId="77777777" w:rsidR="00005BA0" w:rsidRDefault="00005BA0" w:rsidP="00005BA0">
      <w:pPr>
        <w:pStyle w:val="Lettertemplatebody"/>
      </w:pPr>
      <w:r>
        <w:t>I am writing in hope of beginning a collaborative conversation with you and your staff about ways to continue life-saving medications for opioid use disorder (MOUD) for persons detained in your facility.</w:t>
      </w:r>
    </w:p>
    <w:p w14:paraId="45FE281B" w14:textId="77777777" w:rsidR="00005BA0" w:rsidRDefault="00005BA0" w:rsidP="00005BA0">
      <w:pPr>
        <w:pStyle w:val="Lettertemplatebody"/>
      </w:pPr>
      <w:r>
        <w:t xml:space="preserve">I am the presiding judge of the </w:t>
      </w:r>
      <w:r>
        <w:rPr>
          <w:spacing w:val="-16"/>
        </w:rPr>
        <w:t>____________</w:t>
      </w:r>
      <w:r>
        <w:t xml:space="preserve"> Treatment Court in </w:t>
      </w:r>
      <w:r>
        <w:rPr>
          <w:spacing w:val="-16"/>
        </w:rPr>
        <w:t>____________</w:t>
      </w:r>
      <w:r>
        <w:t xml:space="preserve"> County.  Our mission is to provide proven, evidence-based treatments in the community in lieu of conviction or incarceration for persons with severe substance use disorders charged with drug-related offenses. I work with a multidisciplinary team of professionals including substance use and mental health treatment providers, probation officers, defense lawyers, prosecutors, and members of law enforcement. Team members share their observations and expertise to ensure that participants attend treatment faithfully, meet their other obligations in the program, and desist from dangerous and unlawful misconduct. </w:t>
      </w:r>
    </w:p>
    <w:p w14:paraId="42557B82" w14:textId="77777777" w:rsidR="00005BA0" w:rsidRDefault="00005BA0" w:rsidP="00005BA0">
      <w:pPr>
        <w:pStyle w:val="Lettertemplatebody"/>
      </w:pPr>
      <w:r>
        <w:t>Our participants are tested frequently for drug and alcohol use and come to court regularly for the team to review their progress in treatment and deliver rewards for their accomplishments and sanctions for infractions. Sanctions may include verbal reprimands, increased supervision, curfews, person and place restrictions, community service, or brief jail detention in your facility for more serious technical violations.</w:t>
      </w:r>
    </w:p>
    <w:p w14:paraId="6470130D" w14:textId="3527233D" w:rsidR="00005BA0" w:rsidRDefault="00005BA0" w:rsidP="00005BA0">
      <w:pPr>
        <w:pStyle w:val="Lettertemplatebody"/>
      </w:pPr>
      <w:r>
        <w:t>Approximately 15% to 30% of adult treatment court participants nationally [OR, IF DATA ARE AVAILABLE –</w:t>
      </w:r>
      <w:r>
        <w:rPr>
          <w:spacing w:val="-15"/>
        </w:rPr>
        <w:t>___</w:t>
      </w:r>
      <w:r>
        <w:t xml:space="preserve">% of our participants] suffer from an opioid use disorder and are at risk for severe repercussions from this illness, including overdose and death, treatment attrition or failure, and new drug-related arrests and incarcerations. Research is clear that medications including naltrexone (e.g., </w:t>
      </w:r>
      <w:proofErr w:type="spellStart"/>
      <w:r>
        <w:t>Revia</w:t>
      </w:r>
      <w:proofErr w:type="spellEnd"/>
      <w:r>
        <w:t>, Vivitrol), buprenorphine (e.g., Suboxone, Subutex), and methadone, along with counseling and social services, improve outcomes substantially for persons with opioid use disorders in the justice system. Proven benefits include increasing treatment attendance and reducing illicit opioid use, overdose risk, and new drug-related arrests and technical violations.</w:t>
      </w:r>
      <w:r w:rsidR="006E6C42">
        <w:rPr>
          <w:rStyle w:val="EndnoteReference"/>
        </w:rPr>
        <w:endnoteReference w:id="1"/>
      </w:r>
      <w:r>
        <w:t xml:space="preserve"> Based on this body of evidence, MOUD is endorsed as the generally accepted standard of care for treating opioid use disorders by virtually all leading medical, scientific, and professional treatment organizations, including but not limited to the following:</w:t>
      </w:r>
    </w:p>
    <w:p w14:paraId="3A97B7FC" w14:textId="52330643" w:rsidR="00005BA0" w:rsidRDefault="00005BA0" w:rsidP="00005BA0">
      <w:pPr>
        <w:pStyle w:val="Lettertemplatebody"/>
        <w:numPr>
          <w:ilvl w:val="0"/>
          <w:numId w:val="26"/>
        </w:numPr>
      </w:pPr>
      <w:r>
        <w:t>National Institute on Drug Abuse (NIDA)</w:t>
      </w:r>
      <w:r w:rsidR="006E6C42">
        <w:rPr>
          <w:rStyle w:val="EndnoteReference"/>
        </w:rPr>
        <w:endnoteReference w:id="2"/>
      </w:r>
    </w:p>
    <w:p w14:paraId="697A055A" w14:textId="5AD981E9" w:rsidR="00005BA0" w:rsidRDefault="00005BA0" w:rsidP="00005BA0">
      <w:pPr>
        <w:pStyle w:val="Lettertemplatebody"/>
        <w:numPr>
          <w:ilvl w:val="0"/>
          <w:numId w:val="26"/>
        </w:numPr>
        <w:spacing w:before="90"/>
      </w:pPr>
      <w:r>
        <w:t>National Academies of Sciences, Engineering, and Medicine (NASEM)</w:t>
      </w:r>
      <w:r w:rsidR="006E6C42">
        <w:rPr>
          <w:rStyle w:val="EndnoteReference"/>
        </w:rPr>
        <w:endnoteReference w:id="3"/>
      </w:r>
      <w:r>
        <w:t xml:space="preserve"> </w:t>
      </w:r>
    </w:p>
    <w:p w14:paraId="092C407D" w14:textId="55A89608" w:rsidR="00005BA0" w:rsidRDefault="00005BA0" w:rsidP="00005BA0">
      <w:pPr>
        <w:pStyle w:val="Lettertemplatebody"/>
        <w:numPr>
          <w:ilvl w:val="0"/>
          <w:numId w:val="26"/>
        </w:numPr>
        <w:spacing w:before="90"/>
      </w:pPr>
      <w:r>
        <w:t>U.S. Surgeon General</w:t>
      </w:r>
      <w:r w:rsidR="006E6C42">
        <w:rPr>
          <w:rStyle w:val="EndnoteReference"/>
        </w:rPr>
        <w:endnoteReference w:id="4"/>
      </w:r>
    </w:p>
    <w:p w14:paraId="01B2B961" w14:textId="0A0EE5BD" w:rsidR="00005BA0" w:rsidRDefault="00005BA0" w:rsidP="00005BA0">
      <w:pPr>
        <w:pStyle w:val="Lettertemplatebody"/>
        <w:numPr>
          <w:ilvl w:val="0"/>
          <w:numId w:val="26"/>
        </w:numPr>
        <w:spacing w:before="90"/>
      </w:pPr>
      <w:r>
        <w:t>Substance Abuse and Mental Health Services Administration (SAMHSA)</w:t>
      </w:r>
      <w:r w:rsidR="006E6C42">
        <w:rPr>
          <w:rStyle w:val="EndnoteReference"/>
        </w:rPr>
        <w:endnoteReference w:id="5"/>
      </w:r>
      <w:r>
        <w:t xml:space="preserve"> </w:t>
      </w:r>
    </w:p>
    <w:p w14:paraId="407E7A08" w14:textId="72DDFA0A" w:rsidR="00005BA0" w:rsidRDefault="00005BA0" w:rsidP="00005BA0">
      <w:pPr>
        <w:pStyle w:val="Lettertemplatebody"/>
        <w:numPr>
          <w:ilvl w:val="0"/>
          <w:numId w:val="26"/>
        </w:numPr>
        <w:spacing w:before="90"/>
      </w:pPr>
      <w:r>
        <w:t>Centers for Disease Control and Prevention (CDCR)</w:t>
      </w:r>
      <w:r w:rsidR="006E6C42">
        <w:rPr>
          <w:rStyle w:val="EndnoteReference"/>
        </w:rPr>
        <w:endnoteReference w:id="6"/>
      </w:r>
      <w:r>
        <w:t xml:space="preserve"> </w:t>
      </w:r>
    </w:p>
    <w:p w14:paraId="4F1C5CCD" w14:textId="54A328F2" w:rsidR="00005BA0" w:rsidRDefault="00005BA0" w:rsidP="00005BA0">
      <w:pPr>
        <w:pStyle w:val="Lettertemplatebody"/>
        <w:numPr>
          <w:ilvl w:val="0"/>
          <w:numId w:val="26"/>
        </w:numPr>
        <w:spacing w:before="90"/>
      </w:pPr>
      <w:r>
        <w:t>White House Office of National Drug Control Policy (ONDCP)</w:t>
      </w:r>
      <w:r w:rsidR="006E6C42">
        <w:rPr>
          <w:rStyle w:val="EndnoteReference"/>
        </w:rPr>
        <w:endnoteReference w:id="7"/>
      </w:r>
      <w:r>
        <w:t xml:space="preserve"> </w:t>
      </w:r>
    </w:p>
    <w:p w14:paraId="0E20F16D" w14:textId="71A88D65" w:rsidR="00005BA0" w:rsidRDefault="00005BA0" w:rsidP="00005BA0">
      <w:pPr>
        <w:pStyle w:val="Lettertemplatebody"/>
        <w:numPr>
          <w:ilvl w:val="0"/>
          <w:numId w:val="26"/>
        </w:numPr>
        <w:spacing w:before="90"/>
      </w:pPr>
      <w:r>
        <w:t>American Medical Association (AMA)</w:t>
      </w:r>
      <w:r w:rsidR="006E6C42">
        <w:rPr>
          <w:rStyle w:val="EndnoteReference"/>
        </w:rPr>
        <w:endnoteReference w:id="8"/>
      </w:r>
      <w:r>
        <w:t xml:space="preserve"> </w:t>
      </w:r>
    </w:p>
    <w:p w14:paraId="20DAAAFB" w14:textId="0815E6E1" w:rsidR="00005BA0" w:rsidRDefault="00005BA0" w:rsidP="00005BA0">
      <w:pPr>
        <w:pStyle w:val="Lettertemplatebody"/>
        <w:numPr>
          <w:ilvl w:val="0"/>
          <w:numId w:val="26"/>
        </w:numPr>
        <w:spacing w:before="90"/>
      </w:pPr>
      <w:r>
        <w:t>American Psychiatric Association (APA)</w:t>
      </w:r>
      <w:r w:rsidR="006E6C42">
        <w:rPr>
          <w:rStyle w:val="EndnoteReference"/>
        </w:rPr>
        <w:endnoteReference w:id="9"/>
      </w:r>
      <w:r>
        <w:t xml:space="preserve"> </w:t>
      </w:r>
    </w:p>
    <w:p w14:paraId="7FDE247D" w14:textId="4A6DD7ED" w:rsidR="00005BA0" w:rsidRDefault="00005BA0" w:rsidP="00005BA0">
      <w:pPr>
        <w:pStyle w:val="Lettertemplatebody"/>
        <w:numPr>
          <w:ilvl w:val="0"/>
          <w:numId w:val="26"/>
        </w:numPr>
        <w:spacing w:before="90"/>
      </w:pPr>
      <w:r>
        <w:t>World Health Organization (WHO)</w:t>
      </w:r>
      <w:r w:rsidR="006E6C42">
        <w:rPr>
          <w:rStyle w:val="EndnoteReference"/>
        </w:rPr>
        <w:endnoteReference w:id="10"/>
      </w:r>
      <w:r>
        <w:t xml:space="preserve"> </w:t>
      </w:r>
    </w:p>
    <w:p w14:paraId="082AD04A" w14:textId="2A19A4D6" w:rsidR="00005BA0" w:rsidRDefault="00005BA0" w:rsidP="00005BA0">
      <w:pPr>
        <w:pStyle w:val="Lettertemplatebody"/>
        <w:rPr>
          <w:b/>
          <w:bCs/>
        </w:rPr>
      </w:pPr>
      <w:r>
        <w:t>Evidence is equally clear that requiring inmates to discontinue or change a medication regimen is associated with poor outcomes and a lower likelihood of resuming MOUD after release from custody.</w:t>
      </w:r>
      <w:r w:rsidR="006E6C42">
        <w:rPr>
          <w:rStyle w:val="EndnoteReference"/>
        </w:rPr>
        <w:endnoteReference w:id="11"/>
      </w:r>
      <w:r>
        <w:t xml:space="preserve"> Worse, because physiological tolerance to opioids declines during forced abstinence or while taking blockade medications like naltrexone, </w:t>
      </w:r>
      <w:r>
        <w:lastRenderedPageBreak/>
        <w:t>inmates required to withdraw involuntarily from methadone or buprenorphine face a substantially increased risk of overdose and death if they return to illicit opioid use.</w:t>
      </w:r>
      <w:r w:rsidR="006E6C42">
        <w:rPr>
          <w:rStyle w:val="EndnoteReference"/>
        </w:rPr>
        <w:endnoteReference w:id="12"/>
      </w:r>
      <w:r>
        <w:t xml:space="preserve"> This explains, in part, the heartbreaking statistics indicating that </w:t>
      </w:r>
      <w:r>
        <w:rPr>
          <w:b/>
          <w:bCs/>
        </w:rPr>
        <w:t>persons with opioid use disorders released from jail or prison are between 10 and 40 times more likely than those in the general population to die of an opioid overdose within the first few weeks after returning to the community.</w:t>
      </w:r>
      <w:r w:rsidR="006E6C42">
        <w:rPr>
          <w:rStyle w:val="EndnoteReference"/>
          <w:b/>
          <w:bCs/>
        </w:rPr>
        <w:endnoteReference w:id="13"/>
      </w:r>
      <w:r>
        <w:rPr>
          <w:b/>
          <w:bCs/>
        </w:rPr>
        <w:t xml:space="preserve"> </w:t>
      </w:r>
    </w:p>
    <w:p w14:paraId="6D856A8A" w14:textId="7A35F429" w:rsidR="00005BA0" w:rsidRDefault="00005BA0" w:rsidP="00005BA0">
      <w:pPr>
        <w:pStyle w:val="Lettertemplatebody"/>
      </w:pPr>
      <w:r>
        <w:t>As public officials, we also cannot ignore recent case precedent taking note of these alarming statistics and concluding that denying MOUD as a matter of course to jail or prison inmates, whether on post-conviction or pretrial status, is likely to violate the Americans with Disabilities Act (ADA) or Rehabilitation Act and possibly the Eighth Amendment. At least two federal courts have granted preliminary injunctions against jails for routinely denying access to methadone or Suboxone,</w:t>
      </w:r>
      <w:r w:rsidR="006E6C42">
        <w:rPr>
          <w:rStyle w:val="EndnoteReference"/>
        </w:rPr>
        <w:endnoteReference w:id="14"/>
      </w:r>
      <w:r>
        <w:t xml:space="preserve"> and federal settlement agreements have been reached in several cases granting access to MOUD for specific plaintiffs</w:t>
      </w:r>
      <w:r w:rsidR="006E6C42">
        <w:rPr>
          <w:rStyle w:val="EndnoteReference"/>
        </w:rPr>
        <w:endnoteReference w:id="15"/>
      </w:r>
      <w:r>
        <w:t xml:space="preserve"> or whole classes of plaintiffs.</w:t>
      </w:r>
      <w:r w:rsidR="006E6C42">
        <w:rPr>
          <w:rStyle w:val="EndnoteReference"/>
        </w:rPr>
        <w:endnoteReference w:id="16"/>
      </w:r>
      <w:r>
        <w:t xml:space="preserve"> Like you, our court would like to avoid such unpleasant litigation and implement safe and effective practices proven to enhance the health and functioning of our participants and public welfare.</w:t>
      </w:r>
    </w:p>
    <w:p w14:paraId="32553129" w14:textId="56EC0A2D" w:rsidR="00005BA0" w:rsidRDefault="00005BA0" w:rsidP="00005BA0">
      <w:pPr>
        <w:pStyle w:val="Lettertemplatebody"/>
      </w:pPr>
      <w:r>
        <w:t>I can assure you that my staff and I will do everything in our power to work collaboratively with your institution to ensure safe and appropriate use of MOUD. Physicians or other lawfully qualified medical providers working with our program are available to provide extended prescriptions or medication doses to your medical staff with instructions for their use. In addition, there are many effective ways to avoid misuse or diversion of medications, such as observed ingestion, random pill counts, and use of abuse-deterrent formulations to name just a few. These and other strategies are described in excellent documents I would like to call to your attention on the use of MOUD in corrections facilities, one published jointly by the National Sheriffs’ Association and the National Commission on Correctional Health Care,</w:t>
      </w:r>
      <w:r w:rsidR="006E6C42">
        <w:rPr>
          <w:rStyle w:val="EndnoteReference"/>
        </w:rPr>
        <w:endnoteReference w:id="17"/>
      </w:r>
      <w:r>
        <w:t xml:space="preserve"> and the other published by SAMHSA and the Bureau of Justice Assistance (BJA).</w:t>
      </w:r>
      <w:r w:rsidR="006E6C42">
        <w:rPr>
          <w:rStyle w:val="EndnoteReference"/>
        </w:rPr>
        <w:endnoteReference w:id="18"/>
      </w:r>
    </w:p>
    <w:p w14:paraId="7F65C000" w14:textId="3A9D4AF0" w:rsidR="000E22A3" w:rsidRPr="00005BA0" w:rsidRDefault="00005BA0" w:rsidP="00005BA0">
      <w:pPr>
        <w:tabs>
          <w:tab w:val="left" w:pos="360"/>
        </w:tabs>
        <w:autoSpaceDE w:val="0"/>
        <w:autoSpaceDN w:val="0"/>
        <w:adjustRightInd w:val="0"/>
        <w:spacing w:before="180" w:after="0" w:line="260" w:lineRule="atLeast"/>
        <w:textAlignment w:val="center"/>
        <w:rPr>
          <w:rFonts w:ascii="Georgia" w:hAnsi="Georgia" w:cs="Georgia"/>
          <w:color w:val="000000"/>
          <w:sz w:val="20"/>
          <w:szCs w:val="20"/>
        </w:rPr>
      </w:pPr>
      <w:r w:rsidRPr="00005BA0">
        <w:rPr>
          <w:sz w:val="20"/>
          <w:szCs w:val="20"/>
        </w:rPr>
        <w:t xml:space="preserve">My staff and I would welcome the opportunity to meet with you or designated officials from your facility to discuss this important matter further and begin problem-solving mutually agreeable and feasible ways to address understandable concerns you might have. If you require any additional information or are open to arranging a time to speak, please contact my clerk, </w:t>
      </w:r>
      <w:r w:rsidRPr="00005BA0">
        <w:rPr>
          <w:spacing w:val="-16"/>
          <w:sz w:val="20"/>
          <w:szCs w:val="20"/>
        </w:rPr>
        <w:t>____________</w:t>
      </w:r>
      <w:r w:rsidRPr="00005BA0">
        <w:rPr>
          <w:sz w:val="20"/>
          <w:szCs w:val="20"/>
        </w:rPr>
        <w:t xml:space="preserve">, at </w:t>
      </w:r>
      <w:r w:rsidRPr="00005BA0">
        <w:rPr>
          <w:spacing w:val="-16"/>
          <w:sz w:val="20"/>
          <w:szCs w:val="20"/>
        </w:rPr>
        <w:t>____________</w:t>
      </w:r>
      <w:r w:rsidRPr="00005BA0">
        <w:rPr>
          <w:sz w:val="20"/>
          <w:szCs w:val="20"/>
        </w:rPr>
        <w:t xml:space="preserve"> to schedule a mutually convenient meeting or phone call.</w:t>
      </w:r>
      <w:r w:rsidRPr="00005BA0">
        <w:rPr>
          <w:rFonts w:ascii="Georgia" w:hAnsi="Georgia" w:cs="Georgia"/>
          <w:color w:val="000000"/>
          <w:sz w:val="20"/>
          <w:szCs w:val="20"/>
        </w:rPr>
        <w:t xml:space="preserve"> </w:t>
      </w:r>
      <w:r w:rsidR="00B14A4D" w:rsidRPr="00005BA0">
        <w:rPr>
          <w:rFonts w:ascii="Georgia" w:hAnsi="Georgia" w:cs="Georgia"/>
          <w:color w:val="000000"/>
          <w:sz w:val="20"/>
          <w:szCs w:val="20"/>
        </w:rPr>
        <w:t>Most Appreciatively</w:t>
      </w:r>
      <w:r w:rsidRPr="00005BA0">
        <w:rPr>
          <w:rFonts w:ascii="Georgia" w:hAnsi="Georgia" w:cs="Georgia"/>
          <w:color w:val="000000"/>
          <w:sz w:val="20"/>
          <w:szCs w:val="20"/>
        </w:rPr>
        <w:t xml:space="preserve"> and Respectfully</w:t>
      </w:r>
      <w:r w:rsidR="00B14A4D" w:rsidRPr="00005BA0">
        <w:rPr>
          <w:rFonts w:ascii="Georgia" w:hAnsi="Georgia" w:cs="Georgia"/>
          <w:color w:val="000000"/>
          <w:sz w:val="20"/>
          <w:szCs w:val="20"/>
        </w:rPr>
        <w:t>,</w:t>
      </w:r>
    </w:p>
    <w:p w14:paraId="63E9D284" w14:textId="77777777" w:rsidR="00E21366" w:rsidRPr="00E21366" w:rsidRDefault="00E21366" w:rsidP="00E21366">
      <w:pPr>
        <w:autoSpaceDE w:val="0"/>
        <w:autoSpaceDN w:val="0"/>
        <w:adjustRightInd w:val="0"/>
        <w:spacing w:before="180" w:after="0" w:line="260" w:lineRule="atLeast"/>
        <w:textAlignment w:val="center"/>
        <w:rPr>
          <w:rFonts w:ascii="Georgia" w:hAnsi="Georgia" w:cs="Georgia"/>
          <w:b/>
          <w:bCs/>
          <w:i/>
          <w:iCs/>
          <w:color w:val="000000"/>
          <w:sz w:val="20"/>
          <w:szCs w:val="20"/>
        </w:rPr>
      </w:pPr>
    </w:p>
    <w:p w14:paraId="46A809DF" w14:textId="6CE175B0" w:rsidR="00EA442E" w:rsidRDefault="00EA442E" w:rsidP="00EA442E">
      <w:pPr>
        <w:tabs>
          <w:tab w:val="left" w:pos="6980"/>
        </w:tabs>
        <w:autoSpaceDE w:val="0"/>
        <w:autoSpaceDN w:val="0"/>
        <w:adjustRightInd w:val="0"/>
        <w:snapToGrid w:val="0"/>
        <w:spacing w:before="120" w:after="0" w:line="240" w:lineRule="auto"/>
        <w:textAlignment w:val="center"/>
        <w:rPr>
          <w:rFonts w:ascii="Georgia" w:hAnsi="Georgia" w:cs="Georgia"/>
          <w:color w:val="000000"/>
          <w:sz w:val="20"/>
          <w:szCs w:val="20"/>
        </w:rPr>
      </w:pPr>
      <w:r>
        <w:rPr>
          <w:rFonts w:ascii="Georgia" w:hAnsi="Georgia" w:cs="Georgia"/>
          <w:color w:val="000000"/>
          <w:sz w:val="20"/>
          <w:szCs w:val="20"/>
        </w:rPr>
        <w:t>_____________________________________________</w:t>
      </w:r>
    </w:p>
    <w:p w14:paraId="1DC65BCE" w14:textId="0801BB77" w:rsidR="00EA442E" w:rsidRDefault="00B14A4D" w:rsidP="00B14A4D">
      <w:pPr>
        <w:tabs>
          <w:tab w:val="left" w:pos="6980"/>
        </w:tabs>
        <w:autoSpaceDE w:val="0"/>
        <w:autoSpaceDN w:val="0"/>
        <w:adjustRightInd w:val="0"/>
        <w:snapToGrid w:val="0"/>
        <w:spacing w:before="120" w:after="0"/>
        <w:textAlignment w:val="center"/>
        <w:rPr>
          <w:rFonts w:ascii="Georgia" w:hAnsi="Georgia" w:cs="Georgia"/>
          <w:color w:val="000000"/>
          <w:sz w:val="20"/>
          <w:szCs w:val="20"/>
        </w:rPr>
      </w:pPr>
      <w:r>
        <w:rPr>
          <w:rFonts w:ascii="Georgia" w:hAnsi="Georgia" w:cs="Georgia"/>
          <w:color w:val="000000"/>
          <w:sz w:val="20"/>
          <w:szCs w:val="20"/>
        </w:rPr>
        <w:t>Presiding Judge, ___________Treatment Court</w:t>
      </w:r>
    </w:p>
    <w:p w14:paraId="201B0C04" w14:textId="225C1BD0" w:rsidR="00FB6624" w:rsidRDefault="00FB6624">
      <w:pPr>
        <w:rPr>
          <w:rFonts w:ascii="Georgia" w:hAnsi="Georgia" w:cs="Georgia"/>
          <w:color w:val="000000"/>
          <w:sz w:val="20"/>
          <w:szCs w:val="20"/>
        </w:rPr>
      </w:pPr>
      <w:r>
        <w:rPr>
          <w:rFonts w:ascii="Georgia" w:hAnsi="Georgia" w:cs="Georgia"/>
          <w:color w:val="000000"/>
          <w:sz w:val="20"/>
          <w:szCs w:val="20"/>
        </w:rPr>
        <w:br w:type="page"/>
      </w:r>
    </w:p>
    <w:p w14:paraId="42A3C737" w14:textId="77777777" w:rsidR="00E872C1" w:rsidRPr="004F7144" w:rsidRDefault="00E872C1">
      <w:pPr>
        <w:snapToGrid w:val="0"/>
        <w:spacing w:before="120" w:after="0"/>
        <w:rPr>
          <w:rFonts w:ascii="Georgia" w:hAnsi="Georgia" w:cs="Georgia"/>
          <w:color w:val="000000"/>
          <w:sz w:val="20"/>
          <w:szCs w:val="20"/>
        </w:rPr>
      </w:pPr>
    </w:p>
    <w:sectPr w:rsidR="00E872C1" w:rsidRPr="004F7144" w:rsidSect="00CE6288">
      <w:footerReference w:type="even" r:id="rId8"/>
      <w:footerReference w:type="default" r:id="rId9"/>
      <w:endnotePr>
        <w:numFmt w:val="decimal"/>
      </w:endnotePr>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9683" w14:textId="77777777" w:rsidR="00055265" w:rsidRDefault="00055265" w:rsidP="00E95715">
      <w:pPr>
        <w:spacing w:after="0" w:line="240" w:lineRule="auto"/>
      </w:pPr>
      <w:r>
        <w:separator/>
      </w:r>
    </w:p>
    <w:p w14:paraId="49C4FAA1" w14:textId="77777777" w:rsidR="00055265" w:rsidRDefault="00055265"/>
  </w:endnote>
  <w:endnote w:type="continuationSeparator" w:id="0">
    <w:p w14:paraId="511B387E" w14:textId="77777777" w:rsidR="00055265" w:rsidRDefault="00055265" w:rsidP="00E95715">
      <w:pPr>
        <w:spacing w:after="0" w:line="240" w:lineRule="auto"/>
      </w:pPr>
      <w:r>
        <w:continuationSeparator/>
      </w:r>
    </w:p>
    <w:p w14:paraId="1C530DFF" w14:textId="77777777" w:rsidR="00055265" w:rsidRDefault="00055265"/>
  </w:endnote>
  <w:endnote w:id="1">
    <w:p w14:paraId="22D11130"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i/>
          <w:iCs/>
          <w:sz w:val="14"/>
          <w:szCs w:val="14"/>
        </w:rPr>
        <w:t xml:space="preserve">See., e.g., </w:t>
      </w:r>
      <w:r w:rsidRPr="006E6C42">
        <w:rPr>
          <w:sz w:val="14"/>
          <w:szCs w:val="14"/>
        </w:rPr>
        <w:t xml:space="preserve">Substance Abuse and Mental Health Services Administration (SAMHSA). </w:t>
      </w:r>
      <w:r w:rsidRPr="006E6C42">
        <w:rPr>
          <w:i/>
          <w:iCs/>
          <w:sz w:val="14"/>
          <w:szCs w:val="14"/>
        </w:rPr>
        <w:t>Use of Medication-Assisted Treatment for Opioid Use Disorder in Criminal Justice Settings</w:t>
      </w:r>
      <w:r w:rsidRPr="006E6C42">
        <w:rPr>
          <w:sz w:val="14"/>
          <w:szCs w:val="14"/>
        </w:rPr>
        <w:t xml:space="preserve"> (2019). (HHS Pub. No. PEP19-MATUSECJS). </w:t>
      </w:r>
      <w:r w:rsidRPr="006E6C42">
        <w:rPr>
          <w:color w:val="009BDF"/>
          <w:sz w:val="14"/>
          <w:szCs w:val="14"/>
        </w:rPr>
        <w:fldChar w:fldCharType="begin"/>
      </w:r>
      <w:r w:rsidRPr="006E6C42">
        <w:rPr>
          <w:color w:val="009BDF"/>
          <w:sz w:val="14"/>
          <w:szCs w:val="14"/>
        </w:rPr>
        <w:instrText>HYPERLINK "https://www.samhsa.gov/resource/ebp/use-medication-assisted-treatment-opioid-use-disorder-criminal-justice-settings"</w:instrText>
      </w:r>
      <w:r w:rsidRPr="006E6C42">
        <w:rPr>
          <w:color w:val="009BDF"/>
          <w:sz w:val="14"/>
          <w:szCs w:val="14"/>
        </w:rPr>
        <w:fldChar w:fldCharType="separate"/>
      </w:r>
      <w:r w:rsidRPr="006E6C42">
        <w:rPr>
          <w:color w:val="009BDF"/>
          <w:sz w:val="14"/>
          <w:szCs w:val="14"/>
        </w:rPr>
        <w:t>https://www.samhsa.gov/resource/ebp/use-medication-assisted-treatment-opioid-use-disorder-criminal-justice-settings</w:t>
      </w:r>
    </w:p>
    <w:p w14:paraId="397FBAB2" w14:textId="498D33EE"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2">
    <w:p w14:paraId="180127FA"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National Institute on Drug Abuse. </w:t>
      </w:r>
      <w:r w:rsidRPr="006E6C42">
        <w:rPr>
          <w:i/>
          <w:iCs/>
          <w:sz w:val="14"/>
          <w:szCs w:val="14"/>
        </w:rPr>
        <w:t>Principles of Drug Addiction Treatment: A Research-Based Guide</w:t>
      </w:r>
      <w:r w:rsidRPr="006E6C42">
        <w:rPr>
          <w:sz w:val="14"/>
          <w:szCs w:val="14"/>
        </w:rPr>
        <w:t xml:space="preserve"> (Third Edition) (2020), https://www.drugabuse.gov/publications/principles-drug-addiction-treatment-research-based-guide-third-edition/preface; and Principles of Drug Abuse Treatment for Criminal Justice Populations (2014), </w:t>
      </w:r>
      <w:r w:rsidRPr="006E6C42">
        <w:rPr>
          <w:color w:val="009BDF"/>
          <w:sz w:val="14"/>
          <w:szCs w:val="14"/>
        </w:rPr>
        <w:fldChar w:fldCharType="begin"/>
      </w:r>
      <w:r w:rsidRPr="006E6C42">
        <w:rPr>
          <w:color w:val="009BDF"/>
          <w:sz w:val="14"/>
          <w:szCs w:val="14"/>
        </w:rPr>
        <w:instrText>HYPERLINK "https://www.drugabuse.gov/publications/principles-drug-abuse-treatment-criminal-justice-populations-research-based-guide/principles"</w:instrText>
      </w:r>
      <w:r w:rsidRPr="006E6C42">
        <w:rPr>
          <w:color w:val="009BDF"/>
          <w:sz w:val="14"/>
          <w:szCs w:val="14"/>
        </w:rPr>
        <w:fldChar w:fldCharType="separate"/>
      </w:r>
      <w:r w:rsidRPr="006E6C42">
        <w:rPr>
          <w:color w:val="009BDF"/>
          <w:sz w:val="14"/>
          <w:szCs w:val="14"/>
        </w:rPr>
        <w:t>https://www.drugabuse.gov/publications/principles-drug-abuse-treatment-criminal-justice-populations-research-based-guide/principles</w:t>
      </w:r>
    </w:p>
    <w:p w14:paraId="0A840A2A" w14:textId="7F67507F"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3">
    <w:p w14:paraId="4695500E"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National Academies of Sciences, Engineering, and Medicine. </w:t>
      </w:r>
      <w:r w:rsidRPr="006E6C42">
        <w:rPr>
          <w:i/>
          <w:iCs/>
          <w:sz w:val="14"/>
          <w:szCs w:val="14"/>
        </w:rPr>
        <w:t>Medications for Opioid Disorder Save Lives</w:t>
      </w:r>
      <w:r w:rsidRPr="006E6C42">
        <w:rPr>
          <w:sz w:val="14"/>
          <w:szCs w:val="14"/>
        </w:rPr>
        <w:t xml:space="preserve"> (2020), </w:t>
      </w:r>
      <w:r w:rsidRPr="006E6C42">
        <w:rPr>
          <w:color w:val="009BDF"/>
          <w:sz w:val="14"/>
          <w:szCs w:val="14"/>
        </w:rPr>
        <w:fldChar w:fldCharType="begin"/>
      </w:r>
      <w:r w:rsidRPr="006E6C42">
        <w:rPr>
          <w:color w:val="009BDF"/>
          <w:sz w:val="14"/>
          <w:szCs w:val="14"/>
        </w:rPr>
        <w:instrText>HYPERLINK "https://www.nap.edu/catalog/25310/medications-for-opioid-use-disorder-save-lives"</w:instrText>
      </w:r>
      <w:r w:rsidRPr="006E6C42">
        <w:rPr>
          <w:color w:val="009BDF"/>
          <w:sz w:val="14"/>
          <w:szCs w:val="14"/>
        </w:rPr>
        <w:fldChar w:fldCharType="separate"/>
      </w:r>
      <w:r w:rsidRPr="006E6C42">
        <w:rPr>
          <w:color w:val="009BDF"/>
          <w:sz w:val="14"/>
          <w:szCs w:val="14"/>
        </w:rPr>
        <w:t>https://www.nap.edu/catalog/25310/medications-for-opioid-use-disorder-save-lives</w:t>
      </w:r>
    </w:p>
    <w:p w14:paraId="6559A2C1" w14:textId="692D0C24"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4">
    <w:p w14:paraId="661AF687"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SAMHSA, U.S. Office of the Surgeon General. </w:t>
      </w:r>
      <w:r w:rsidRPr="006E6C42">
        <w:rPr>
          <w:i/>
          <w:iCs/>
          <w:sz w:val="14"/>
          <w:szCs w:val="14"/>
        </w:rPr>
        <w:t>Facing Addiction in America: The Surgeon General’s Spotlight on Opioids</w:t>
      </w:r>
      <w:r w:rsidRPr="006E6C42">
        <w:rPr>
          <w:sz w:val="14"/>
          <w:szCs w:val="14"/>
        </w:rPr>
        <w:t xml:space="preserve"> (2018), </w:t>
      </w:r>
      <w:r w:rsidRPr="006E6C42">
        <w:rPr>
          <w:color w:val="009BDF"/>
          <w:sz w:val="14"/>
          <w:szCs w:val="14"/>
        </w:rPr>
        <w:fldChar w:fldCharType="begin"/>
      </w:r>
      <w:r w:rsidRPr="006E6C42">
        <w:rPr>
          <w:color w:val="009BDF"/>
          <w:sz w:val="14"/>
          <w:szCs w:val="14"/>
        </w:rPr>
        <w:instrText>HYPERLINK "https://www.ncbi.nlm.nih.gov/books/NBK538436/"</w:instrText>
      </w:r>
      <w:r w:rsidRPr="006E6C42">
        <w:rPr>
          <w:color w:val="009BDF"/>
          <w:sz w:val="14"/>
          <w:szCs w:val="14"/>
        </w:rPr>
        <w:fldChar w:fldCharType="separate"/>
      </w:r>
      <w:r w:rsidRPr="006E6C42">
        <w:rPr>
          <w:color w:val="009BDF"/>
          <w:sz w:val="14"/>
          <w:szCs w:val="14"/>
        </w:rPr>
        <w:t>https://www.ncbi.nlm.nih.gov/books/NBK538436/</w:t>
      </w:r>
    </w:p>
    <w:p w14:paraId="3F90A2F3" w14:textId="33708205"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5">
    <w:p w14:paraId="4D52B059"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SAMHSA. MAT Medications, Counseling, and Related Conditions web page, </w:t>
      </w:r>
      <w:hyperlink r:id="rId1" w:history="1">
        <w:r w:rsidRPr="006E6C42">
          <w:rPr>
            <w:color w:val="009BDF"/>
            <w:sz w:val="14"/>
            <w:szCs w:val="14"/>
          </w:rPr>
          <w:t>https://www.samhsa.gov/medication-assisted-treatment/medications-counseling-related-conditions</w:t>
        </w:r>
      </w:hyperlink>
      <w:r w:rsidRPr="006E6C42">
        <w:rPr>
          <w:sz w:val="14"/>
          <w:szCs w:val="14"/>
        </w:rPr>
        <w:t xml:space="preserve">; and TIP 63: </w:t>
      </w:r>
      <w:r w:rsidRPr="006E6C42">
        <w:rPr>
          <w:i/>
          <w:iCs/>
          <w:sz w:val="14"/>
          <w:szCs w:val="14"/>
        </w:rPr>
        <w:t xml:space="preserve">Medications for Opioid Use Disorder </w:t>
      </w:r>
      <w:r w:rsidRPr="006E6C42">
        <w:rPr>
          <w:sz w:val="14"/>
          <w:szCs w:val="14"/>
        </w:rPr>
        <w:t xml:space="preserve">(2020), </w:t>
      </w:r>
      <w:r w:rsidRPr="006E6C42">
        <w:rPr>
          <w:color w:val="009BDF"/>
          <w:sz w:val="14"/>
          <w:szCs w:val="14"/>
        </w:rPr>
        <w:fldChar w:fldCharType="begin"/>
      </w:r>
      <w:r w:rsidRPr="006E6C42">
        <w:rPr>
          <w:color w:val="009BDF"/>
          <w:sz w:val="14"/>
          <w:szCs w:val="14"/>
        </w:rPr>
        <w:instrText>HYPERLINK "https://www.samhsa.gov/resource/ebp/tip-63-medications-opioid-use-disorder"</w:instrText>
      </w:r>
      <w:r w:rsidRPr="006E6C42">
        <w:rPr>
          <w:color w:val="009BDF"/>
          <w:sz w:val="14"/>
          <w:szCs w:val="14"/>
        </w:rPr>
        <w:fldChar w:fldCharType="separate"/>
      </w:r>
      <w:r w:rsidRPr="006E6C42">
        <w:rPr>
          <w:color w:val="009BDF"/>
          <w:sz w:val="14"/>
          <w:szCs w:val="14"/>
        </w:rPr>
        <w:t>https://www.samhsa.gov/resource/ebp/tip-63-medications-opioid-use-disorder</w:t>
      </w:r>
    </w:p>
    <w:p w14:paraId="78902D64" w14:textId="78442796"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6">
    <w:p w14:paraId="32A38269"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Centers for Disease Control and Prevention, National Institute for Occupational Safety and Health. </w:t>
      </w:r>
      <w:r w:rsidRPr="006E6C42">
        <w:rPr>
          <w:i/>
          <w:iCs/>
          <w:sz w:val="14"/>
          <w:szCs w:val="14"/>
        </w:rPr>
        <w:t>Medication-Assisted Treatment for Opioid Use Disorder</w:t>
      </w:r>
      <w:r w:rsidRPr="006E6C42">
        <w:rPr>
          <w:sz w:val="14"/>
          <w:szCs w:val="14"/>
        </w:rPr>
        <w:t xml:space="preserve"> (2019), </w:t>
      </w:r>
      <w:r w:rsidRPr="006E6C42">
        <w:rPr>
          <w:color w:val="009BDF"/>
          <w:sz w:val="14"/>
          <w:szCs w:val="14"/>
        </w:rPr>
        <w:fldChar w:fldCharType="begin"/>
      </w:r>
      <w:r w:rsidRPr="006E6C42">
        <w:rPr>
          <w:color w:val="009BDF"/>
          <w:sz w:val="14"/>
          <w:szCs w:val="14"/>
        </w:rPr>
        <w:instrText>HYPERLINK "https://doi.org/10.26616/NIOSHPUB2019133"</w:instrText>
      </w:r>
      <w:r w:rsidRPr="006E6C42">
        <w:rPr>
          <w:color w:val="009BDF"/>
          <w:sz w:val="14"/>
          <w:szCs w:val="14"/>
        </w:rPr>
        <w:fldChar w:fldCharType="separate"/>
      </w:r>
      <w:r w:rsidRPr="006E6C42">
        <w:rPr>
          <w:color w:val="009BDF"/>
          <w:sz w:val="14"/>
          <w:szCs w:val="14"/>
        </w:rPr>
        <w:t>https://doi.org/10.26616/NIOSHPUB2019133</w:t>
      </w:r>
    </w:p>
    <w:p w14:paraId="48CE3DAE" w14:textId="45CEB9F4"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7">
    <w:p w14:paraId="6191F37E"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Executive Office of the President, Office of National Drug Control Policy. </w:t>
      </w:r>
      <w:r w:rsidRPr="006E6C42">
        <w:rPr>
          <w:i/>
          <w:iCs/>
          <w:sz w:val="14"/>
          <w:szCs w:val="14"/>
        </w:rPr>
        <w:t>Medication-Assisted Treatment for Opioid Addiction</w:t>
      </w:r>
      <w:r w:rsidRPr="006E6C42">
        <w:rPr>
          <w:sz w:val="14"/>
          <w:szCs w:val="14"/>
        </w:rPr>
        <w:t xml:space="preserve"> (2012), </w:t>
      </w:r>
      <w:r w:rsidRPr="006E6C42">
        <w:rPr>
          <w:color w:val="009BDF"/>
          <w:sz w:val="14"/>
          <w:szCs w:val="14"/>
        </w:rPr>
        <w:fldChar w:fldCharType="begin"/>
      </w:r>
      <w:r w:rsidRPr="006E6C42">
        <w:rPr>
          <w:color w:val="009BDF"/>
          <w:sz w:val="14"/>
          <w:szCs w:val="14"/>
        </w:rPr>
        <w:instrText>HYPERLINK "https://obamawhitehouse.archives.gov/sites/default/files/ondcp/recovery/medication_assisted_treatment_9-21-20121.pdf"</w:instrText>
      </w:r>
      <w:r w:rsidRPr="006E6C42">
        <w:rPr>
          <w:color w:val="009BDF"/>
          <w:sz w:val="14"/>
          <w:szCs w:val="14"/>
        </w:rPr>
        <w:fldChar w:fldCharType="separate"/>
      </w:r>
      <w:r w:rsidRPr="006E6C42">
        <w:rPr>
          <w:color w:val="009BDF"/>
          <w:sz w:val="14"/>
          <w:szCs w:val="14"/>
        </w:rPr>
        <w:t>https://obamawhitehouse.archives.gov/sites/default/files/ondcp/recovery/medication_assisted_treatment_9-21-20121.pdf</w:t>
      </w:r>
    </w:p>
    <w:p w14:paraId="1266BAD0" w14:textId="373724A1"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8">
    <w:p w14:paraId="7431DE48"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American Medical Association. Medication-Assisted Treatment web page, </w:t>
      </w:r>
      <w:r w:rsidRPr="006E6C42">
        <w:rPr>
          <w:color w:val="009BDF"/>
          <w:sz w:val="14"/>
          <w:szCs w:val="14"/>
        </w:rPr>
        <w:fldChar w:fldCharType="begin"/>
      </w:r>
      <w:r w:rsidRPr="006E6C42">
        <w:rPr>
          <w:color w:val="009BDF"/>
          <w:sz w:val="14"/>
          <w:szCs w:val="14"/>
        </w:rPr>
        <w:instrText>HYPERLINK "https://www.ama-assn.org/topics/medication-assisted-treatment"</w:instrText>
      </w:r>
      <w:r w:rsidRPr="006E6C42">
        <w:rPr>
          <w:color w:val="009BDF"/>
          <w:sz w:val="14"/>
          <w:szCs w:val="14"/>
        </w:rPr>
        <w:fldChar w:fldCharType="separate"/>
      </w:r>
      <w:r w:rsidRPr="006E6C42">
        <w:rPr>
          <w:color w:val="009BDF"/>
          <w:sz w:val="14"/>
          <w:szCs w:val="14"/>
        </w:rPr>
        <w:t>https://www.ama-assn.org/topics/medication-assisted-</w:t>
      </w:r>
      <w:r w:rsidRPr="006E6C42">
        <w:rPr>
          <w:color w:val="009BDF"/>
          <w:sz w:val="14"/>
          <w:szCs w:val="14"/>
        </w:rPr>
        <w:br/>
        <w:t>treatment</w:t>
      </w:r>
    </w:p>
    <w:p w14:paraId="6A4553E0" w14:textId="38296A97"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9">
    <w:p w14:paraId="132B6EA3" w14:textId="46176068"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American Psychiatric Association. Medication-Assisted Treatment for Opioid Use Disorder web page, </w:t>
      </w:r>
      <w:r w:rsidRPr="006E6C42">
        <w:rPr>
          <w:color w:val="009BDF"/>
          <w:sz w:val="14"/>
          <w:szCs w:val="14"/>
        </w:rPr>
        <w:fldChar w:fldCharType="begin"/>
      </w:r>
      <w:r w:rsidR="00621581">
        <w:rPr>
          <w:color w:val="009BDF"/>
          <w:sz w:val="14"/>
          <w:szCs w:val="14"/>
        </w:rPr>
        <w:instrText>HYPERLINK "https://www.psychiatry.org/psychiatrists/education/signature-initiatives/model-curriculum-project-for-substance-use-disorders/medication-assisted-treatment-for-opioid-use-disorder"</w:instrText>
      </w:r>
      <w:r w:rsidR="00621581" w:rsidRPr="006E6C42">
        <w:rPr>
          <w:color w:val="009BDF"/>
          <w:sz w:val="14"/>
          <w:szCs w:val="14"/>
        </w:rPr>
      </w:r>
      <w:r w:rsidRPr="006E6C42">
        <w:rPr>
          <w:color w:val="009BDF"/>
          <w:sz w:val="14"/>
          <w:szCs w:val="14"/>
        </w:rPr>
        <w:fldChar w:fldCharType="separate"/>
      </w:r>
      <w:r w:rsidRPr="006E6C42">
        <w:rPr>
          <w:color w:val="009BDF"/>
          <w:sz w:val="14"/>
          <w:szCs w:val="14"/>
        </w:rPr>
        <w:t>https://www.ps</w:t>
      </w:r>
      <w:r w:rsidRPr="006E6C42">
        <w:rPr>
          <w:color w:val="009BDF"/>
          <w:sz w:val="14"/>
          <w:szCs w:val="14"/>
        </w:rPr>
        <w:t>y</w:t>
      </w:r>
      <w:r w:rsidRPr="006E6C42">
        <w:rPr>
          <w:color w:val="009BDF"/>
          <w:sz w:val="14"/>
          <w:szCs w:val="14"/>
        </w:rPr>
        <w:t>chiatry.org/psychiatrists/education/signature-initiatives/model-curriculum-project-for-substance-use-disorders/medication-assisted-treatment-for-opioid-use-disorder</w:t>
      </w:r>
    </w:p>
    <w:p w14:paraId="4B46F8FD" w14:textId="04401FC3"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10">
    <w:p w14:paraId="607E619D"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World Health Organization. </w:t>
      </w:r>
      <w:r w:rsidRPr="006E6C42">
        <w:rPr>
          <w:i/>
          <w:iCs/>
          <w:sz w:val="14"/>
          <w:szCs w:val="14"/>
        </w:rPr>
        <w:t>Guidelines for the Psychosocially Assisted Pharmacological Treatment of Opioid Dependence</w:t>
      </w:r>
      <w:r w:rsidRPr="006E6C42">
        <w:rPr>
          <w:sz w:val="14"/>
          <w:szCs w:val="14"/>
        </w:rPr>
        <w:t xml:space="preserve"> (2009), </w:t>
      </w:r>
      <w:r w:rsidRPr="006E6C42">
        <w:rPr>
          <w:color w:val="009BDF"/>
          <w:sz w:val="14"/>
          <w:szCs w:val="14"/>
        </w:rPr>
        <w:fldChar w:fldCharType="begin"/>
      </w:r>
      <w:r w:rsidRPr="006E6C42">
        <w:rPr>
          <w:color w:val="009BDF"/>
          <w:sz w:val="14"/>
          <w:szCs w:val="14"/>
        </w:rPr>
        <w:instrText>HYPERLINK "https://www.who.int/publications/i/item/9789241547543"</w:instrText>
      </w:r>
      <w:r w:rsidRPr="006E6C42">
        <w:rPr>
          <w:color w:val="009BDF"/>
          <w:sz w:val="14"/>
          <w:szCs w:val="14"/>
        </w:rPr>
        <w:fldChar w:fldCharType="separate"/>
      </w:r>
      <w:r w:rsidRPr="006E6C42">
        <w:rPr>
          <w:color w:val="009BDF"/>
          <w:sz w:val="14"/>
          <w:szCs w:val="14"/>
        </w:rPr>
        <w:t>https://www.who.int/publications/i/item/9789241547543</w:t>
      </w:r>
    </w:p>
    <w:p w14:paraId="7301726A" w14:textId="6B73A7C3"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11">
    <w:p w14:paraId="00073573"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i/>
          <w:iCs/>
          <w:sz w:val="14"/>
          <w:szCs w:val="14"/>
        </w:rPr>
        <w:t xml:space="preserve">See, e.g., </w:t>
      </w:r>
      <w:r w:rsidRPr="006E6C42">
        <w:rPr>
          <w:sz w:val="14"/>
          <w:szCs w:val="14"/>
        </w:rPr>
        <w:t xml:space="preserve">Rich, J. D., et al., Methadone Continuation Versus Forced Withdrawal on Incarceration in a Combined US Prison and Jail: A </w:t>
      </w:r>
      <w:proofErr w:type="spellStart"/>
      <w:r w:rsidRPr="006E6C42">
        <w:rPr>
          <w:sz w:val="14"/>
          <w:szCs w:val="14"/>
        </w:rPr>
        <w:t>Randomised</w:t>
      </w:r>
      <w:proofErr w:type="spellEnd"/>
      <w:r w:rsidRPr="006E6C42">
        <w:rPr>
          <w:sz w:val="14"/>
          <w:szCs w:val="14"/>
        </w:rPr>
        <w:t xml:space="preserve">, Open-Label Trial (2015), Lancet 386(9991):350–359. </w:t>
      </w:r>
      <w:r w:rsidRPr="006E6C42">
        <w:rPr>
          <w:color w:val="009BDF"/>
          <w:sz w:val="14"/>
          <w:szCs w:val="14"/>
        </w:rPr>
        <w:fldChar w:fldCharType="begin"/>
      </w:r>
      <w:r w:rsidRPr="006E6C42">
        <w:rPr>
          <w:color w:val="009BDF"/>
          <w:sz w:val="14"/>
          <w:szCs w:val="14"/>
        </w:rPr>
        <w:instrText>HYPERLINK "https://doi.org/10.1016/S0140-6736(14)62338-2"</w:instrText>
      </w:r>
      <w:r w:rsidRPr="006E6C42">
        <w:rPr>
          <w:color w:val="009BDF"/>
          <w:sz w:val="14"/>
          <w:szCs w:val="14"/>
        </w:rPr>
        <w:fldChar w:fldCharType="separate"/>
      </w:r>
      <w:r w:rsidRPr="006E6C42">
        <w:rPr>
          <w:color w:val="009BDF"/>
          <w:sz w:val="14"/>
          <w:szCs w:val="14"/>
        </w:rPr>
        <w:t>https://doi.org/10.1016/S0140-6736(14)62338-2</w:t>
      </w:r>
    </w:p>
    <w:p w14:paraId="48E8BD6F" w14:textId="2F9A3CD8"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12">
    <w:p w14:paraId="18C9EBFB"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i/>
          <w:iCs/>
          <w:sz w:val="14"/>
          <w:szCs w:val="14"/>
        </w:rPr>
        <w:t>See</w:t>
      </w:r>
      <w:r w:rsidRPr="006E6C42">
        <w:rPr>
          <w:sz w:val="14"/>
          <w:szCs w:val="14"/>
        </w:rPr>
        <w:t xml:space="preserve"> Green, T. C., et al., </w:t>
      </w:r>
      <w:proofErr w:type="spellStart"/>
      <w:r w:rsidRPr="006E6C42">
        <w:rPr>
          <w:sz w:val="14"/>
          <w:szCs w:val="14"/>
        </w:rPr>
        <w:t>Postincarceration</w:t>
      </w:r>
      <w:proofErr w:type="spellEnd"/>
      <w:r w:rsidRPr="006E6C42">
        <w:rPr>
          <w:sz w:val="14"/>
          <w:szCs w:val="14"/>
        </w:rPr>
        <w:t xml:space="preserve"> Fatal Overdoses After Implementing Medications for Addiction Treatment in a Statewide Correctional System (2018), </w:t>
      </w:r>
      <w:r w:rsidRPr="006E6C42">
        <w:rPr>
          <w:i/>
          <w:iCs/>
          <w:sz w:val="14"/>
          <w:szCs w:val="14"/>
        </w:rPr>
        <w:t>JAMA Psychiatry</w:t>
      </w:r>
      <w:r w:rsidRPr="006E6C42">
        <w:rPr>
          <w:sz w:val="14"/>
          <w:szCs w:val="14"/>
        </w:rPr>
        <w:t xml:space="preserve"> 75(4):405–407. </w:t>
      </w:r>
      <w:r w:rsidRPr="006E6C42">
        <w:rPr>
          <w:color w:val="009BDF"/>
          <w:sz w:val="14"/>
          <w:szCs w:val="14"/>
        </w:rPr>
        <w:fldChar w:fldCharType="begin"/>
      </w:r>
      <w:r w:rsidRPr="006E6C42">
        <w:rPr>
          <w:color w:val="009BDF"/>
          <w:sz w:val="14"/>
          <w:szCs w:val="14"/>
        </w:rPr>
        <w:instrText>HYPERLINK "https://jamanetwork.com/journals/jamapsychiatry/fullarticle/2671411"</w:instrText>
      </w:r>
      <w:r w:rsidRPr="006E6C42">
        <w:rPr>
          <w:color w:val="009BDF"/>
          <w:sz w:val="14"/>
          <w:szCs w:val="14"/>
        </w:rPr>
        <w:fldChar w:fldCharType="separate"/>
      </w:r>
      <w:r w:rsidRPr="006E6C42">
        <w:rPr>
          <w:color w:val="009BDF"/>
          <w:sz w:val="14"/>
          <w:szCs w:val="14"/>
        </w:rPr>
        <w:t>https://jamanetwork.com/journals/jamapsychiatry/fullarticle/2671411</w:t>
      </w:r>
    </w:p>
    <w:p w14:paraId="53154A5D" w14:textId="156EAF5D"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13">
    <w:p w14:paraId="6E9C709E" w14:textId="77777777" w:rsidR="006E6C42" w:rsidRPr="006E6C42" w:rsidRDefault="006E6C42" w:rsidP="00FB6624">
      <w:pPr>
        <w:pStyle w:val="Lettertemplatebody"/>
        <w:spacing w:before="0" w:after="0" w:line="240" w:lineRule="auto"/>
        <w:rPr>
          <w:sz w:val="14"/>
          <w:szCs w:val="14"/>
        </w:rPr>
      </w:pPr>
      <w:r>
        <w:rPr>
          <w:rStyle w:val="EndnoteReference"/>
        </w:rPr>
        <w:endnoteRef/>
      </w:r>
      <w:r>
        <w:t xml:space="preserve"> </w:t>
      </w:r>
      <w:r w:rsidRPr="006E6C42">
        <w:rPr>
          <w:i/>
          <w:iCs/>
          <w:sz w:val="14"/>
          <w:szCs w:val="14"/>
        </w:rPr>
        <w:t>See, e.g.,</w:t>
      </w:r>
      <w:r w:rsidRPr="006E6C42">
        <w:rPr>
          <w:sz w:val="14"/>
          <w:szCs w:val="14"/>
        </w:rPr>
        <w:t xml:space="preserve"> </w:t>
      </w:r>
      <w:proofErr w:type="spellStart"/>
      <w:r w:rsidRPr="006E6C42">
        <w:rPr>
          <w:sz w:val="14"/>
          <w:szCs w:val="14"/>
        </w:rPr>
        <w:t>Merrall</w:t>
      </w:r>
      <w:proofErr w:type="spellEnd"/>
      <w:r w:rsidRPr="006E6C42">
        <w:rPr>
          <w:sz w:val="14"/>
          <w:szCs w:val="14"/>
        </w:rPr>
        <w:t xml:space="preserve"> E. L., et al., Meta-Analysis of Drug-Related Deaths Soon After Release from Prison (2010), </w:t>
      </w:r>
      <w:r w:rsidRPr="006E6C42">
        <w:rPr>
          <w:i/>
          <w:iCs/>
          <w:sz w:val="14"/>
          <w:szCs w:val="14"/>
        </w:rPr>
        <w:t>Addiction</w:t>
      </w:r>
      <w:r w:rsidRPr="006E6C42">
        <w:rPr>
          <w:sz w:val="14"/>
          <w:szCs w:val="14"/>
        </w:rPr>
        <w:t xml:space="preserve"> 105(9):1545–1554, </w:t>
      </w:r>
      <w:hyperlink r:id="rId2" w:history="1">
        <w:r w:rsidRPr="006E6C42">
          <w:rPr>
            <w:color w:val="009BDF"/>
            <w:sz w:val="14"/>
            <w:szCs w:val="14"/>
          </w:rPr>
          <w:t>https://doi.org/10.1111/j.1360-0443.2010.02990.x</w:t>
        </w:r>
      </w:hyperlink>
      <w:r w:rsidRPr="006E6C42">
        <w:rPr>
          <w:sz w:val="14"/>
          <w:szCs w:val="14"/>
        </w:rPr>
        <w:t xml:space="preserve">; Binswanger, I. A. et al., Release from Prison—A High Risk of Death for Former Inmates (2007), </w:t>
      </w:r>
      <w:r w:rsidRPr="006E6C42">
        <w:rPr>
          <w:i/>
          <w:iCs/>
          <w:sz w:val="14"/>
          <w:szCs w:val="14"/>
        </w:rPr>
        <w:t xml:space="preserve">New England Journal of Medicine </w:t>
      </w:r>
      <w:r w:rsidRPr="006E6C42">
        <w:rPr>
          <w:sz w:val="14"/>
          <w:szCs w:val="14"/>
        </w:rPr>
        <w:t xml:space="preserve">356:157–165, </w:t>
      </w:r>
      <w:hyperlink r:id="rId3" w:history="1">
        <w:r w:rsidRPr="006E6C42">
          <w:rPr>
            <w:color w:val="009BDF"/>
            <w:sz w:val="14"/>
            <w:szCs w:val="14"/>
          </w:rPr>
          <w:t>https://www.nejm.org/doi/full/10.1056/nejmsa064115</w:t>
        </w:r>
      </w:hyperlink>
      <w:r w:rsidRPr="006E6C42">
        <w:rPr>
          <w:sz w:val="14"/>
          <w:szCs w:val="14"/>
        </w:rPr>
        <w:t xml:space="preserve">; Rosen, D. L., et al., All-Cause and Cause-Specific Mortality Among Men Released from State Prison, 1980–2005 (2008), </w:t>
      </w:r>
      <w:r w:rsidRPr="006E6C42">
        <w:rPr>
          <w:i/>
          <w:iCs/>
          <w:sz w:val="14"/>
          <w:szCs w:val="14"/>
        </w:rPr>
        <w:t>American Journal of Public Health</w:t>
      </w:r>
      <w:r w:rsidRPr="006E6C42">
        <w:rPr>
          <w:sz w:val="14"/>
          <w:szCs w:val="14"/>
        </w:rPr>
        <w:t xml:space="preserve"> 98(12):2278–2284, </w:t>
      </w:r>
      <w:hyperlink r:id="rId4" w:history="1">
        <w:r w:rsidRPr="006E6C42">
          <w:rPr>
            <w:color w:val="009BDF"/>
            <w:sz w:val="14"/>
            <w:szCs w:val="14"/>
          </w:rPr>
          <w:t>https://ajph.aphapublications.org/doi/full/10.2105/AJPH.2007.121855</w:t>
        </w:r>
      </w:hyperlink>
      <w:r w:rsidRPr="006E6C42">
        <w:rPr>
          <w:sz w:val="14"/>
          <w:szCs w:val="14"/>
        </w:rPr>
        <w:t>.</w:t>
      </w:r>
    </w:p>
    <w:p w14:paraId="34D57F22" w14:textId="029950A5" w:rsidR="006E6C42" w:rsidRDefault="006E6C42" w:rsidP="00FB6624">
      <w:pPr>
        <w:pStyle w:val="EndnoteText"/>
        <w:spacing w:after="0" w:line="240" w:lineRule="auto"/>
      </w:pPr>
    </w:p>
  </w:endnote>
  <w:endnote w:id="14">
    <w:p w14:paraId="7A3460CC" w14:textId="77777777" w:rsidR="006E6C42" w:rsidRPr="006E6C42" w:rsidRDefault="006E6C42" w:rsidP="00FB6624">
      <w:pPr>
        <w:pStyle w:val="Lettertemplatebody"/>
        <w:spacing w:before="0" w:after="0" w:line="240" w:lineRule="auto"/>
        <w:rPr>
          <w:sz w:val="14"/>
          <w:szCs w:val="14"/>
        </w:rPr>
      </w:pPr>
      <w:r>
        <w:rPr>
          <w:rStyle w:val="EndnoteReference"/>
        </w:rPr>
        <w:endnoteRef/>
      </w:r>
      <w:r>
        <w:t xml:space="preserve"> </w:t>
      </w:r>
      <w:proofErr w:type="spellStart"/>
      <w:r w:rsidRPr="006E6C42">
        <w:rPr>
          <w:i/>
          <w:iCs/>
          <w:sz w:val="14"/>
          <w:szCs w:val="14"/>
        </w:rPr>
        <w:t>Pesce</w:t>
      </w:r>
      <w:proofErr w:type="spellEnd"/>
      <w:r w:rsidRPr="006E6C42">
        <w:rPr>
          <w:i/>
          <w:iCs/>
          <w:sz w:val="14"/>
          <w:szCs w:val="14"/>
        </w:rPr>
        <w:t xml:space="preserve"> v. Coppinger,</w:t>
      </w:r>
      <w:r w:rsidRPr="006E6C42">
        <w:rPr>
          <w:sz w:val="14"/>
          <w:szCs w:val="14"/>
        </w:rPr>
        <w:t xml:space="preserve"> 355 F. Supp. 3d 35 (D. Mass. 2018); </w:t>
      </w:r>
      <w:r w:rsidRPr="006E6C42">
        <w:rPr>
          <w:i/>
          <w:iCs/>
          <w:sz w:val="14"/>
          <w:szCs w:val="14"/>
        </w:rPr>
        <w:t xml:space="preserve">Smith v. Aroostook County, </w:t>
      </w:r>
      <w:r w:rsidRPr="006E6C42">
        <w:rPr>
          <w:sz w:val="14"/>
          <w:szCs w:val="14"/>
        </w:rPr>
        <w:t xml:space="preserve">376 F. Supp. 3d 146 (D. Maine), </w:t>
      </w:r>
      <w:r w:rsidRPr="006E6C42">
        <w:rPr>
          <w:i/>
          <w:iCs/>
          <w:sz w:val="14"/>
          <w:szCs w:val="14"/>
        </w:rPr>
        <w:t xml:space="preserve">aff’d, </w:t>
      </w:r>
      <w:r w:rsidRPr="006E6C42">
        <w:rPr>
          <w:sz w:val="14"/>
          <w:szCs w:val="14"/>
        </w:rPr>
        <w:t>922 F.3d 41 (1st Cir. 2019).</w:t>
      </w:r>
    </w:p>
    <w:p w14:paraId="6CD80904" w14:textId="467267BF" w:rsidR="006E6C42" w:rsidRDefault="006E6C42" w:rsidP="00FB6624">
      <w:pPr>
        <w:pStyle w:val="EndnoteText"/>
        <w:spacing w:after="0" w:line="240" w:lineRule="auto"/>
      </w:pPr>
    </w:p>
  </w:endnote>
  <w:endnote w:id="15">
    <w:p w14:paraId="2C6ACEBC" w14:textId="77777777" w:rsidR="006E6C42" w:rsidRPr="006E6C42" w:rsidRDefault="006E6C42" w:rsidP="00FB6624">
      <w:pPr>
        <w:pStyle w:val="Lettertemplatebody"/>
        <w:spacing w:before="0" w:after="0" w:line="240" w:lineRule="auto"/>
        <w:rPr>
          <w:sz w:val="14"/>
          <w:szCs w:val="14"/>
        </w:rPr>
      </w:pPr>
      <w:r>
        <w:rPr>
          <w:rStyle w:val="EndnoteReference"/>
        </w:rPr>
        <w:endnoteRef/>
      </w:r>
      <w:r>
        <w:t xml:space="preserve"> </w:t>
      </w:r>
      <w:proofErr w:type="spellStart"/>
      <w:r w:rsidRPr="006E6C42">
        <w:rPr>
          <w:i/>
          <w:iCs/>
          <w:sz w:val="14"/>
          <w:szCs w:val="14"/>
        </w:rPr>
        <w:t>DiPierro</w:t>
      </w:r>
      <w:proofErr w:type="spellEnd"/>
      <w:r w:rsidRPr="006E6C42">
        <w:rPr>
          <w:i/>
          <w:iCs/>
          <w:sz w:val="14"/>
          <w:szCs w:val="14"/>
        </w:rPr>
        <w:t xml:space="preserve"> v. Hurwitz,</w:t>
      </w:r>
      <w:r w:rsidRPr="006E6C42">
        <w:rPr>
          <w:sz w:val="14"/>
          <w:szCs w:val="14"/>
        </w:rPr>
        <w:t xml:space="preserve"> No. 1:19-cv-10495-WGY (D. Mass. 2019); </w:t>
      </w:r>
      <w:r w:rsidRPr="006E6C42">
        <w:rPr>
          <w:i/>
          <w:iCs/>
          <w:sz w:val="14"/>
          <w:szCs w:val="14"/>
        </w:rPr>
        <w:t>Smith v. Fitzpatrick</w:t>
      </w:r>
      <w:r w:rsidRPr="006E6C42">
        <w:rPr>
          <w:sz w:val="14"/>
          <w:szCs w:val="14"/>
        </w:rPr>
        <w:t xml:space="preserve"> (D. Maine 2018); </w:t>
      </w:r>
      <w:r w:rsidRPr="006E6C42">
        <w:rPr>
          <w:i/>
          <w:iCs/>
          <w:sz w:val="14"/>
          <w:szCs w:val="14"/>
        </w:rPr>
        <w:t>Crews v. Sawyer</w:t>
      </w:r>
      <w:r w:rsidRPr="006E6C42">
        <w:rPr>
          <w:sz w:val="14"/>
          <w:szCs w:val="14"/>
        </w:rPr>
        <w:t xml:space="preserve"> (D. Kan. 2019); </w:t>
      </w:r>
      <w:proofErr w:type="spellStart"/>
      <w:r w:rsidRPr="006E6C42">
        <w:rPr>
          <w:i/>
          <w:iCs/>
          <w:sz w:val="14"/>
          <w:szCs w:val="14"/>
        </w:rPr>
        <w:t>Sclafani</w:t>
      </w:r>
      <w:proofErr w:type="spellEnd"/>
      <w:r w:rsidRPr="006E6C42">
        <w:rPr>
          <w:i/>
          <w:iCs/>
          <w:sz w:val="14"/>
          <w:szCs w:val="14"/>
        </w:rPr>
        <w:t xml:space="preserve"> v. </w:t>
      </w:r>
      <w:proofErr w:type="spellStart"/>
      <w:r w:rsidRPr="006E6C42">
        <w:rPr>
          <w:i/>
          <w:iCs/>
          <w:sz w:val="14"/>
          <w:szCs w:val="14"/>
        </w:rPr>
        <w:t>Mici</w:t>
      </w:r>
      <w:proofErr w:type="spellEnd"/>
      <w:r w:rsidRPr="006E6C42">
        <w:rPr>
          <w:sz w:val="14"/>
          <w:szCs w:val="14"/>
        </w:rPr>
        <w:t xml:space="preserve"> (D. Mass. 2019); </w:t>
      </w:r>
      <w:r w:rsidRPr="006E6C42">
        <w:rPr>
          <w:i/>
          <w:iCs/>
          <w:sz w:val="14"/>
          <w:szCs w:val="14"/>
        </w:rPr>
        <w:t>Godsey v. Sawyer</w:t>
      </w:r>
      <w:r w:rsidRPr="006E6C42">
        <w:rPr>
          <w:sz w:val="14"/>
          <w:szCs w:val="14"/>
        </w:rPr>
        <w:t xml:space="preserve"> (W.D. Wash. 2019).</w:t>
      </w:r>
    </w:p>
    <w:p w14:paraId="50915DFF" w14:textId="1889DEFC" w:rsidR="006E6C42" w:rsidRDefault="006E6C42" w:rsidP="00FB6624">
      <w:pPr>
        <w:pStyle w:val="EndnoteText"/>
        <w:spacing w:after="0" w:line="240" w:lineRule="auto"/>
      </w:pPr>
    </w:p>
  </w:endnote>
  <w:endnote w:id="16">
    <w:p w14:paraId="33587C7D" w14:textId="77777777" w:rsidR="006E6C42" w:rsidRPr="006E6C42" w:rsidRDefault="006E6C42" w:rsidP="00FB6624">
      <w:pPr>
        <w:pStyle w:val="Lettertemplatebody"/>
        <w:spacing w:before="0" w:after="0" w:line="240" w:lineRule="auto"/>
        <w:rPr>
          <w:sz w:val="14"/>
          <w:szCs w:val="14"/>
        </w:rPr>
      </w:pPr>
      <w:r>
        <w:rPr>
          <w:rStyle w:val="EndnoteReference"/>
        </w:rPr>
        <w:endnoteRef/>
      </w:r>
      <w:r>
        <w:t xml:space="preserve"> </w:t>
      </w:r>
      <w:proofErr w:type="spellStart"/>
      <w:r w:rsidRPr="006E6C42">
        <w:rPr>
          <w:i/>
          <w:iCs/>
          <w:sz w:val="14"/>
          <w:szCs w:val="14"/>
        </w:rPr>
        <w:t>Kortlever</w:t>
      </w:r>
      <w:proofErr w:type="spellEnd"/>
      <w:r w:rsidRPr="006E6C42">
        <w:rPr>
          <w:i/>
          <w:iCs/>
          <w:sz w:val="14"/>
          <w:szCs w:val="14"/>
        </w:rPr>
        <w:t xml:space="preserve"> v. Whatcom County</w:t>
      </w:r>
      <w:r w:rsidRPr="006E6C42">
        <w:rPr>
          <w:sz w:val="14"/>
          <w:szCs w:val="14"/>
        </w:rPr>
        <w:t xml:space="preserve"> (D. Wash. 2018).</w:t>
      </w:r>
    </w:p>
    <w:p w14:paraId="02E4CDBF" w14:textId="64AC8526" w:rsidR="006E6C42" w:rsidRDefault="006E6C42" w:rsidP="00FB6624">
      <w:pPr>
        <w:pStyle w:val="EndnoteText"/>
        <w:spacing w:after="0" w:line="240" w:lineRule="auto"/>
      </w:pPr>
    </w:p>
  </w:endnote>
  <w:endnote w:id="17">
    <w:p w14:paraId="1649CCC9"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National Sheriffs’ Association and National Commission on Correctional Health Care. </w:t>
      </w:r>
      <w:r w:rsidRPr="006E6C42">
        <w:rPr>
          <w:i/>
          <w:iCs/>
          <w:sz w:val="14"/>
          <w:szCs w:val="14"/>
        </w:rPr>
        <w:t>Jail-Based Medication-Assisted Treatment: Promising Practices, Guidelines, and Resources for the Field</w:t>
      </w:r>
      <w:r w:rsidRPr="006E6C42">
        <w:rPr>
          <w:sz w:val="14"/>
          <w:szCs w:val="14"/>
        </w:rPr>
        <w:t xml:space="preserve"> (2018). </w:t>
      </w:r>
      <w:r w:rsidRPr="006E6C42">
        <w:rPr>
          <w:color w:val="009BDF"/>
          <w:sz w:val="14"/>
          <w:szCs w:val="14"/>
        </w:rPr>
        <w:fldChar w:fldCharType="begin"/>
      </w:r>
      <w:r w:rsidRPr="006E6C42">
        <w:rPr>
          <w:color w:val="009BDF"/>
          <w:sz w:val="14"/>
          <w:szCs w:val="14"/>
        </w:rPr>
        <w:instrText>HYPERLINK "https://www.ncchc.org/filebin/Resources/Jail-Based-MAT-PPG-web.pdf"</w:instrText>
      </w:r>
      <w:r w:rsidRPr="006E6C42">
        <w:rPr>
          <w:color w:val="009BDF"/>
          <w:sz w:val="14"/>
          <w:szCs w:val="14"/>
        </w:rPr>
        <w:fldChar w:fldCharType="separate"/>
      </w:r>
      <w:r w:rsidRPr="006E6C42">
        <w:rPr>
          <w:color w:val="009BDF"/>
          <w:sz w:val="14"/>
          <w:szCs w:val="14"/>
        </w:rPr>
        <w:t>https://www.ncchc.org/filebin/Resources/Jail-Based-MAT-PPG-web.pdf</w:t>
      </w:r>
    </w:p>
    <w:p w14:paraId="234C3B57" w14:textId="284203C7"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 w:id="18">
    <w:p w14:paraId="0AE8FED0" w14:textId="77777777" w:rsidR="006E6C42" w:rsidRPr="006E6C42" w:rsidRDefault="006E6C42" w:rsidP="00FB6624">
      <w:pPr>
        <w:pStyle w:val="Lettertemplatebody"/>
        <w:spacing w:before="0" w:after="0" w:line="240" w:lineRule="auto"/>
        <w:rPr>
          <w:color w:val="009BDF"/>
          <w:sz w:val="14"/>
          <w:szCs w:val="14"/>
        </w:rPr>
      </w:pPr>
      <w:r>
        <w:rPr>
          <w:rStyle w:val="EndnoteReference"/>
        </w:rPr>
        <w:endnoteRef/>
      </w:r>
      <w:r>
        <w:t xml:space="preserve"> </w:t>
      </w:r>
      <w:r w:rsidRPr="006E6C42">
        <w:rPr>
          <w:sz w:val="14"/>
          <w:szCs w:val="14"/>
        </w:rPr>
        <w:t xml:space="preserve">SAMHSA and BJA. </w:t>
      </w:r>
      <w:r w:rsidRPr="006E6C42">
        <w:rPr>
          <w:i/>
          <w:iCs/>
          <w:sz w:val="14"/>
          <w:szCs w:val="14"/>
        </w:rPr>
        <w:t>Medication-Assisted Treatment Inside Correctional Facilities: Addressing Medication Diversion</w:t>
      </w:r>
      <w:r w:rsidRPr="006E6C42">
        <w:rPr>
          <w:sz w:val="14"/>
          <w:szCs w:val="14"/>
        </w:rPr>
        <w:t xml:space="preserve"> (2019). </w:t>
      </w:r>
      <w:r w:rsidRPr="006E6C42">
        <w:rPr>
          <w:color w:val="009BDF"/>
          <w:sz w:val="14"/>
          <w:szCs w:val="14"/>
        </w:rPr>
        <w:fldChar w:fldCharType="begin"/>
      </w:r>
      <w:r w:rsidRPr="006E6C42">
        <w:rPr>
          <w:color w:val="009BDF"/>
          <w:sz w:val="14"/>
          <w:szCs w:val="14"/>
        </w:rPr>
        <w:instrText>HYPERLINK "https://store.samhsa.gov/product/mat-inside-correctional-facilities-addressing-medication-diversion/PEP19-MAT-CORRECTIONS"</w:instrText>
      </w:r>
      <w:r w:rsidRPr="006E6C42">
        <w:rPr>
          <w:color w:val="009BDF"/>
          <w:sz w:val="14"/>
          <w:szCs w:val="14"/>
        </w:rPr>
        <w:fldChar w:fldCharType="separate"/>
      </w:r>
      <w:r w:rsidRPr="006E6C42">
        <w:rPr>
          <w:color w:val="009BDF"/>
          <w:sz w:val="14"/>
          <w:szCs w:val="14"/>
        </w:rPr>
        <w:t>https://store.samhsa.gov/product/mat-inside-correctional-facilities-addressing-medication-diversion/PEP19-MAT-CORRECTIONS</w:t>
      </w:r>
    </w:p>
    <w:p w14:paraId="384F3E02" w14:textId="2784366C" w:rsidR="006E6C42" w:rsidRDefault="006E6C42" w:rsidP="00FB6624">
      <w:pPr>
        <w:pStyle w:val="EndnoteText"/>
        <w:spacing w:after="0" w:line="240" w:lineRule="auto"/>
      </w:pPr>
      <w:r w:rsidRPr="006E6C42">
        <w:rPr>
          <w:rFonts w:ascii="Georgia" w:hAnsi="Georgia" w:cs="Georgia"/>
          <w:color w:val="009BDF"/>
          <w:sz w:val="14"/>
          <w:szCs w:val="14"/>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1195544"/>
      <w:docPartObj>
        <w:docPartGallery w:val="Page Numbers (Bottom of Page)"/>
        <w:docPartUnique/>
      </w:docPartObj>
    </w:sdtPr>
    <w:sdtEndPr>
      <w:rPr>
        <w:rStyle w:val="PageNumber"/>
      </w:rPr>
    </w:sdtEndPr>
    <w:sdtContent>
      <w:p w14:paraId="3FEA3031" w14:textId="566F9279" w:rsidR="00E95715" w:rsidRDefault="00E95715" w:rsidP="00FC4D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2FBB6D" w14:textId="77777777" w:rsidR="00E95715" w:rsidRDefault="00E95715">
    <w:pPr>
      <w:pStyle w:val="Footer"/>
    </w:pPr>
  </w:p>
  <w:p w14:paraId="4263F1A7" w14:textId="77777777" w:rsidR="0007709B" w:rsidRDefault="00077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291941358"/>
      <w:docPartObj>
        <w:docPartGallery w:val="Page Numbers (Bottom of Page)"/>
        <w:docPartUnique/>
      </w:docPartObj>
    </w:sdtPr>
    <w:sdtEndPr>
      <w:rPr>
        <w:rStyle w:val="PageNumber"/>
      </w:rPr>
    </w:sdtEndPr>
    <w:sdtContent>
      <w:p w14:paraId="1442441F" w14:textId="7E4768A1" w:rsidR="00FC4DEE" w:rsidRPr="00FC4DEE" w:rsidRDefault="00FC4DEE" w:rsidP="00BF7B00">
        <w:pPr>
          <w:pStyle w:val="Footer"/>
          <w:framePr w:wrap="none" w:vAnchor="text" w:hAnchor="margin" w:xAlign="center" w:y="1"/>
          <w:rPr>
            <w:rStyle w:val="PageNumber"/>
            <w:sz w:val="18"/>
            <w:szCs w:val="18"/>
          </w:rPr>
        </w:pPr>
        <w:r w:rsidRPr="00FC4DEE">
          <w:rPr>
            <w:rStyle w:val="PageNumber"/>
            <w:sz w:val="18"/>
            <w:szCs w:val="18"/>
          </w:rPr>
          <w:fldChar w:fldCharType="begin"/>
        </w:r>
        <w:r w:rsidRPr="00FC4DEE">
          <w:rPr>
            <w:rStyle w:val="PageNumber"/>
            <w:sz w:val="18"/>
            <w:szCs w:val="18"/>
          </w:rPr>
          <w:instrText xml:space="preserve"> PAGE </w:instrText>
        </w:r>
        <w:r w:rsidRPr="00FC4DEE">
          <w:rPr>
            <w:rStyle w:val="PageNumber"/>
            <w:sz w:val="18"/>
            <w:szCs w:val="18"/>
          </w:rPr>
          <w:fldChar w:fldCharType="separate"/>
        </w:r>
        <w:r w:rsidRPr="00FC4DEE">
          <w:rPr>
            <w:rStyle w:val="PageNumber"/>
            <w:noProof/>
            <w:sz w:val="18"/>
            <w:szCs w:val="18"/>
          </w:rPr>
          <w:t>1</w:t>
        </w:r>
        <w:r w:rsidRPr="00FC4DEE">
          <w:rPr>
            <w:rStyle w:val="PageNumber"/>
            <w:sz w:val="18"/>
            <w:szCs w:val="18"/>
          </w:rPr>
          <w:fldChar w:fldCharType="end"/>
        </w:r>
      </w:p>
    </w:sdtContent>
  </w:sdt>
  <w:p w14:paraId="18198245" w14:textId="77777777" w:rsidR="0007709B" w:rsidRDefault="00077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013F" w14:textId="77777777" w:rsidR="00055265" w:rsidRDefault="00055265" w:rsidP="00E95715">
      <w:pPr>
        <w:spacing w:after="0" w:line="240" w:lineRule="auto"/>
      </w:pPr>
      <w:r>
        <w:separator/>
      </w:r>
    </w:p>
    <w:p w14:paraId="7EE59537" w14:textId="77777777" w:rsidR="00055265" w:rsidRDefault="00055265"/>
  </w:footnote>
  <w:footnote w:type="continuationSeparator" w:id="0">
    <w:p w14:paraId="64CF64FE" w14:textId="77777777" w:rsidR="00055265" w:rsidRDefault="00055265" w:rsidP="00E95715">
      <w:pPr>
        <w:spacing w:after="0" w:line="240" w:lineRule="auto"/>
      </w:pPr>
      <w:r>
        <w:continuationSeparator/>
      </w:r>
    </w:p>
    <w:p w14:paraId="03625006" w14:textId="77777777" w:rsidR="00055265" w:rsidRDefault="000552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F5567"/>
    <w:multiLevelType w:val="hybridMultilevel"/>
    <w:tmpl w:val="0E3099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C66"/>
    <w:multiLevelType w:val="hybridMultilevel"/>
    <w:tmpl w:val="6512C7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85F3B"/>
    <w:multiLevelType w:val="hybridMultilevel"/>
    <w:tmpl w:val="EE7CA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3572"/>
    <w:multiLevelType w:val="hybridMultilevel"/>
    <w:tmpl w:val="31D2B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2849"/>
    <w:multiLevelType w:val="hybridMultilevel"/>
    <w:tmpl w:val="594E5C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24770"/>
    <w:multiLevelType w:val="hybridMultilevel"/>
    <w:tmpl w:val="4560C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D1AA7"/>
    <w:multiLevelType w:val="multilevel"/>
    <w:tmpl w:val="DF042BA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075C1D"/>
    <w:multiLevelType w:val="hybridMultilevel"/>
    <w:tmpl w:val="09EC0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D7936"/>
    <w:multiLevelType w:val="multilevel"/>
    <w:tmpl w:val="6B68D9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E27AF8"/>
    <w:multiLevelType w:val="hybridMultilevel"/>
    <w:tmpl w:val="C0CA8B10"/>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76D9"/>
    <w:multiLevelType w:val="hybridMultilevel"/>
    <w:tmpl w:val="5DF606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443C6D"/>
    <w:multiLevelType w:val="hybridMultilevel"/>
    <w:tmpl w:val="E92852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B12361"/>
    <w:multiLevelType w:val="hybridMultilevel"/>
    <w:tmpl w:val="FEDCF9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673F4E"/>
    <w:multiLevelType w:val="hybridMultilevel"/>
    <w:tmpl w:val="8BBA0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7366E2"/>
    <w:multiLevelType w:val="hybridMultilevel"/>
    <w:tmpl w:val="982403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F47CE"/>
    <w:multiLevelType w:val="hybridMultilevel"/>
    <w:tmpl w:val="E202F7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72C7D"/>
    <w:multiLevelType w:val="hybridMultilevel"/>
    <w:tmpl w:val="FB00B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E17E1B"/>
    <w:multiLevelType w:val="hybridMultilevel"/>
    <w:tmpl w:val="73EC89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76677"/>
    <w:multiLevelType w:val="hybridMultilevel"/>
    <w:tmpl w:val="79C052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41FF6"/>
    <w:multiLevelType w:val="hybridMultilevel"/>
    <w:tmpl w:val="CC72CE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13C1D"/>
    <w:multiLevelType w:val="hybridMultilevel"/>
    <w:tmpl w:val="C41E3C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24CC8"/>
    <w:multiLevelType w:val="hybridMultilevel"/>
    <w:tmpl w:val="CB58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3400D"/>
    <w:multiLevelType w:val="hybridMultilevel"/>
    <w:tmpl w:val="CE2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F6D7D"/>
    <w:multiLevelType w:val="hybridMultilevel"/>
    <w:tmpl w:val="6630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CE3D46"/>
    <w:multiLevelType w:val="hybridMultilevel"/>
    <w:tmpl w:val="9DF2FB0A"/>
    <w:lvl w:ilvl="0" w:tplc="B2224F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A6114"/>
    <w:multiLevelType w:val="hybridMultilevel"/>
    <w:tmpl w:val="19B81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6"/>
  </w:num>
  <w:num w:numId="4">
    <w:abstractNumId w:val="8"/>
  </w:num>
  <w:num w:numId="5">
    <w:abstractNumId w:val="9"/>
  </w:num>
  <w:num w:numId="6">
    <w:abstractNumId w:val="25"/>
  </w:num>
  <w:num w:numId="7">
    <w:abstractNumId w:val="14"/>
  </w:num>
  <w:num w:numId="8">
    <w:abstractNumId w:val="10"/>
  </w:num>
  <w:num w:numId="9">
    <w:abstractNumId w:val="5"/>
  </w:num>
  <w:num w:numId="10">
    <w:abstractNumId w:val="7"/>
  </w:num>
  <w:num w:numId="11">
    <w:abstractNumId w:val="0"/>
  </w:num>
  <w:num w:numId="12">
    <w:abstractNumId w:val="15"/>
  </w:num>
  <w:num w:numId="13">
    <w:abstractNumId w:val="19"/>
  </w:num>
  <w:num w:numId="14">
    <w:abstractNumId w:val="3"/>
  </w:num>
  <w:num w:numId="15">
    <w:abstractNumId w:val="18"/>
  </w:num>
  <w:num w:numId="16">
    <w:abstractNumId w:val="2"/>
  </w:num>
  <w:num w:numId="17">
    <w:abstractNumId w:val="16"/>
  </w:num>
  <w:num w:numId="18">
    <w:abstractNumId w:val="4"/>
  </w:num>
  <w:num w:numId="19">
    <w:abstractNumId w:val="17"/>
  </w:num>
  <w:num w:numId="20">
    <w:abstractNumId w:val="11"/>
  </w:num>
  <w:num w:numId="21">
    <w:abstractNumId w:val="1"/>
  </w:num>
  <w:num w:numId="22">
    <w:abstractNumId w:val="13"/>
  </w:num>
  <w:num w:numId="23">
    <w:abstractNumId w:val="12"/>
  </w:num>
  <w:num w:numId="24">
    <w:abstractNumId w:val="22"/>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715"/>
    <w:rsid w:val="00005BA0"/>
    <w:rsid w:val="00055265"/>
    <w:rsid w:val="0007709B"/>
    <w:rsid w:val="0009664D"/>
    <w:rsid w:val="000E22A3"/>
    <w:rsid w:val="0031685F"/>
    <w:rsid w:val="00341795"/>
    <w:rsid w:val="00343FBA"/>
    <w:rsid w:val="00381088"/>
    <w:rsid w:val="004F7144"/>
    <w:rsid w:val="0052147D"/>
    <w:rsid w:val="0057732A"/>
    <w:rsid w:val="005D516F"/>
    <w:rsid w:val="00621581"/>
    <w:rsid w:val="00632FAF"/>
    <w:rsid w:val="0069799A"/>
    <w:rsid w:val="006B5E70"/>
    <w:rsid w:val="006E6C42"/>
    <w:rsid w:val="006F590D"/>
    <w:rsid w:val="00716022"/>
    <w:rsid w:val="007A79CD"/>
    <w:rsid w:val="008C4C7A"/>
    <w:rsid w:val="00992446"/>
    <w:rsid w:val="00A35FDC"/>
    <w:rsid w:val="00AB0B09"/>
    <w:rsid w:val="00AC1515"/>
    <w:rsid w:val="00B14A4D"/>
    <w:rsid w:val="00B719A5"/>
    <w:rsid w:val="00C5495D"/>
    <w:rsid w:val="00CB14C4"/>
    <w:rsid w:val="00CE6288"/>
    <w:rsid w:val="00D95956"/>
    <w:rsid w:val="00E21366"/>
    <w:rsid w:val="00E872C1"/>
    <w:rsid w:val="00E95715"/>
    <w:rsid w:val="00EA442E"/>
    <w:rsid w:val="00EE34D8"/>
    <w:rsid w:val="00F26C21"/>
    <w:rsid w:val="00F77A2D"/>
    <w:rsid w:val="00FB6624"/>
    <w:rsid w:val="00FC4DEE"/>
    <w:rsid w:val="00FF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723A"/>
  <w15:chartTrackingRefBased/>
  <w15:docId w15:val="{AEF5D081-7AD8-0B47-823F-A0992086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715"/>
    <w:pPr>
      <w:tabs>
        <w:tab w:val="center" w:pos="4680"/>
        <w:tab w:val="right" w:pos="9360"/>
      </w:tabs>
    </w:pPr>
  </w:style>
  <w:style w:type="character" w:customStyle="1" w:styleId="HeaderChar">
    <w:name w:val="Header Char"/>
    <w:basedOn w:val="DefaultParagraphFont"/>
    <w:link w:val="Header"/>
    <w:uiPriority w:val="99"/>
    <w:rsid w:val="00E95715"/>
  </w:style>
  <w:style w:type="paragraph" w:styleId="Footer">
    <w:name w:val="footer"/>
    <w:basedOn w:val="Normal"/>
    <w:link w:val="FooterChar"/>
    <w:uiPriority w:val="99"/>
    <w:unhideWhenUsed/>
    <w:rsid w:val="00E95715"/>
    <w:pPr>
      <w:tabs>
        <w:tab w:val="center" w:pos="4680"/>
        <w:tab w:val="right" w:pos="9360"/>
      </w:tabs>
    </w:pPr>
  </w:style>
  <w:style w:type="character" w:customStyle="1" w:styleId="FooterChar">
    <w:name w:val="Footer Char"/>
    <w:basedOn w:val="DefaultParagraphFont"/>
    <w:link w:val="Footer"/>
    <w:uiPriority w:val="99"/>
    <w:rsid w:val="00E95715"/>
  </w:style>
  <w:style w:type="character" w:styleId="PageNumber">
    <w:name w:val="page number"/>
    <w:basedOn w:val="DefaultParagraphFont"/>
    <w:uiPriority w:val="99"/>
    <w:semiHidden/>
    <w:unhideWhenUsed/>
    <w:rsid w:val="00E95715"/>
  </w:style>
  <w:style w:type="paragraph" w:styleId="EndnoteText">
    <w:name w:val="endnote text"/>
    <w:basedOn w:val="Normal"/>
    <w:link w:val="EndnoteTextChar"/>
    <w:uiPriority w:val="99"/>
    <w:semiHidden/>
    <w:unhideWhenUsed/>
    <w:rsid w:val="00D95956"/>
    <w:rPr>
      <w:sz w:val="20"/>
      <w:szCs w:val="20"/>
    </w:rPr>
  </w:style>
  <w:style w:type="character" w:customStyle="1" w:styleId="EndnoteTextChar">
    <w:name w:val="Endnote Text Char"/>
    <w:basedOn w:val="DefaultParagraphFont"/>
    <w:link w:val="EndnoteText"/>
    <w:uiPriority w:val="99"/>
    <w:semiHidden/>
    <w:rsid w:val="00D95956"/>
    <w:rPr>
      <w:sz w:val="20"/>
      <w:szCs w:val="20"/>
    </w:rPr>
  </w:style>
  <w:style w:type="character" w:styleId="EndnoteReference">
    <w:name w:val="endnote reference"/>
    <w:basedOn w:val="DefaultParagraphFont"/>
    <w:uiPriority w:val="99"/>
    <w:semiHidden/>
    <w:unhideWhenUsed/>
    <w:rsid w:val="00D95956"/>
    <w:rPr>
      <w:vertAlign w:val="superscript"/>
    </w:rPr>
  </w:style>
  <w:style w:type="paragraph" w:styleId="FootnoteText">
    <w:name w:val="footnote text"/>
    <w:basedOn w:val="Normal"/>
    <w:link w:val="FootnoteTextChar"/>
    <w:uiPriority w:val="99"/>
    <w:semiHidden/>
    <w:unhideWhenUsed/>
    <w:rsid w:val="00D95956"/>
    <w:rPr>
      <w:sz w:val="20"/>
      <w:szCs w:val="20"/>
    </w:rPr>
  </w:style>
  <w:style w:type="character" w:customStyle="1" w:styleId="FootnoteTextChar">
    <w:name w:val="Footnote Text Char"/>
    <w:basedOn w:val="DefaultParagraphFont"/>
    <w:link w:val="FootnoteText"/>
    <w:uiPriority w:val="99"/>
    <w:semiHidden/>
    <w:rsid w:val="00D95956"/>
    <w:rPr>
      <w:sz w:val="20"/>
      <w:szCs w:val="20"/>
    </w:rPr>
  </w:style>
  <w:style w:type="character" w:styleId="FootnoteReference">
    <w:name w:val="footnote reference"/>
    <w:basedOn w:val="DefaultParagraphFont"/>
    <w:uiPriority w:val="99"/>
    <w:semiHidden/>
    <w:unhideWhenUsed/>
    <w:rsid w:val="00D95956"/>
    <w:rPr>
      <w:vertAlign w:val="superscript"/>
    </w:rPr>
  </w:style>
  <w:style w:type="paragraph" w:customStyle="1" w:styleId="Lettertemplatebody">
    <w:name w:val="Letter template body"/>
    <w:basedOn w:val="Normal"/>
    <w:uiPriority w:val="99"/>
    <w:rsid w:val="00D95956"/>
    <w:pPr>
      <w:autoSpaceDE w:val="0"/>
      <w:autoSpaceDN w:val="0"/>
      <w:adjustRightInd w:val="0"/>
      <w:spacing w:before="180" w:line="260" w:lineRule="atLeast"/>
      <w:textAlignment w:val="center"/>
    </w:pPr>
    <w:rPr>
      <w:rFonts w:ascii="Georgia" w:hAnsi="Georgia" w:cs="Georgia"/>
      <w:color w:val="000000"/>
      <w:sz w:val="20"/>
      <w:szCs w:val="20"/>
    </w:rPr>
  </w:style>
  <w:style w:type="paragraph" w:styleId="ListParagraph">
    <w:name w:val="List Paragraph"/>
    <w:basedOn w:val="Normal"/>
    <w:uiPriority w:val="34"/>
    <w:qFormat/>
    <w:rsid w:val="00AB0B09"/>
    <w:pPr>
      <w:ind w:left="720"/>
      <w:contextualSpacing/>
    </w:pPr>
  </w:style>
  <w:style w:type="character" w:styleId="Hyperlink">
    <w:name w:val="Hyperlink"/>
    <w:basedOn w:val="DefaultParagraphFont"/>
    <w:uiPriority w:val="99"/>
    <w:unhideWhenUsed/>
    <w:rsid w:val="00AB0B09"/>
    <w:rPr>
      <w:color w:val="0563C1" w:themeColor="hyperlink"/>
      <w:u w:val="single"/>
    </w:rPr>
  </w:style>
  <w:style w:type="character" w:styleId="UnresolvedMention">
    <w:name w:val="Unresolved Mention"/>
    <w:basedOn w:val="DefaultParagraphFont"/>
    <w:uiPriority w:val="99"/>
    <w:semiHidden/>
    <w:unhideWhenUsed/>
    <w:rsid w:val="00AB0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19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nejm.org/doi/full/10.1056/nejmsa064115" TargetMode="External"/><Relationship Id="rId2" Type="http://schemas.openxmlformats.org/officeDocument/2006/relationships/hyperlink" Target="https://doi.org/10.1111/j.1360-0443.2010.02990.x" TargetMode="External"/><Relationship Id="rId1" Type="http://schemas.openxmlformats.org/officeDocument/2006/relationships/hyperlink" Target="https://www.samhsa.gov/medication-assisted-treatment/medications-counseling-related-conditions" TargetMode="External"/><Relationship Id="rId4" Type="http://schemas.openxmlformats.org/officeDocument/2006/relationships/hyperlink" Target="https://ajph.aphapublications.org/doi/full/10.2105/AJPH.2007.1218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A995F-EF01-A64E-9055-EDD3B312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Vestal</dc:creator>
  <cp:keywords/>
  <dc:description/>
  <cp:lastModifiedBy>Rebecca Pepper</cp:lastModifiedBy>
  <cp:revision>2</cp:revision>
  <dcterms:created xsi:type="dcterms:W3CDTF">2021-04-16T15:24:00Z</dcterms:created>
  <dcterms:modified xsi:type="dcterms:W3CDTF">2021-04-16T15:24:00Z</dcterms:modified>
</cp:coreProperties>
</file>